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endnotes.xml" ContentType="application/vnd.openxmlformats-officedocument.wordprocessingml.endnotes+xml"/>
  <Override PartName="/word/numbering.xml" ContentType="application/vnd.openxmlformats-officedocument.wordprocessingml.numbering+xml"/>
  <Override PartName="/word/footnotes.xml" ContentType="application/vnd.openxmlformats-officedocument.wordprocessingml.footnotes+xml"/>
  <Override PartName="/word/header1.xml" ContentType="application/vnd.openxmlformats-officedocument.wordprocessingml.header+xml"/>
  <Override PartName="/word/webSettings.xml" ContentType="application/vnd.openxmlformats-officedocument.wordprocessingml.webSettings+xml"/>
  <Override PartName="/word/footer2.xml" ContentType="application/vnd.openxmlformats-officedocument.wordprocessingml.footer+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Style w:val="1147"/>
        <w:tblW w:w="0" w:type="auto"/>
        <w:tblCellMar>
          <w:left w:w="57" w:type="dxa"/>
        </w:tblCellMar>
        <w:tblBorders/>
        <w:tblLayout w:type="fixed"/>
        <w:tblLook w:val="04A0" w:firstRow="1" w:lastRow="0" w:firstColumn="1" w:lastColumn="0" w:noHBand="0" w:noVBand="1"/>
      </w:tblPr>
      <w:tblGrid>
        <w:gridCol w:w="2322"/>
        <w:gridCol w:w="7454"/>
      </w:tblGrid>
      <w:tr>
        <w:trPr/>
        <w:tc>
          <w:tcPr>
            <w:tcBorders/>
            <w:tcW w:w="2322" w:type="dxa"/>
            <w:textDirection w:val="lrTb"/>
            <w:noWrap w:val="false"/>
          </w:tcPr>
          <w:p>
            <w:pPr>
              <w:pBdr/>
              <w:spacing/>
              <w:ind/>
              <w:rPr/>
            </w:pPr>
            <w:r>
              <w:t xml:space="preserve">Номер договора</w:t>
            </w:r>
            <w:r/>
          </w:p>
        </w:tc>
        <w:tc>
          <w:tcPr>
            <w:tcBorders/>
            <w:tcW w:w="7454" w:type="dxa"/>
            <w:textDirection w:val="lrTb"/>
            <w:noWrap w:val="false"/>
          </w:tcPr>
          <w:p>
            <w:pPr>
              <w:pBdr/>
              <w:spacing/>
              <w:ind/>
              <w:rPr/>
            </w:pPr>
            <w:r>
              <w:t xml:space="preserve">{{ contract_number }}</w:t>
            </w:r>
            <w:r/>
          </w:p>
        </w:tc>
      </w:tr>
      <w:tr>
        <w:trPr/>
        <w:tc>
          <w:tcPr>
            <w:tcBorders/>
            <w:tcW w:w="2322" w:type="dxa"/>
            <w:textDirection w:val="lrTb"/>
            <w:noWrap w:val="false"/>
          </w:tcPr>
          <w:p>
            <w:pPr>
              <w:pBdr/>
              <w:spacing/>
              <w:ind/>
              <w:rPr/>
            </w:pPr>
            <w:r>
              <w:t xml:space="preserve">Лицензиар</w:t>
            </w:r>
            <w:r/>
          </w:p>
        </w:tc>
        <w:tc>
          <w:tcPr>
            <w:tcBorders/>
            <w:tcW w:w="7454" w:type="dxa"/>
            <w:textDirection w:val="lrTb"/>
            <w:noWrap w:val="false"/>
          </w:tcPr>
          <w:p>
            <w:pPr>
              <w:pBdr/>
              <w:spacing/>
              <w:ind/>
              <w:rPr/>
            </w:pPr>
            <w:r>
              <w:t xml:space="preserve">Общество с ограниченной ответственностью «Примавера»</w:t>
            </w:r>
            <w:r/>
          </w:p>
        </w:tc>
      </w:tr>
      <w:tr>
        <w:trPr/>
        <w:tc>
          <w:tcPr>
            <w:tcBorders/>
            <w:tcW w:w="2322" w:type="dxa"/>
            <w:textDirection w:val="lrTb"/>
            <w:noWrap w:val="false"/>
          </w:tcPr>
          <w:p>
            <w:pPr>
              <w:pBdr/>
              <w:spacing/>
              <w:ind/>
              <w:rPr/>
            </w:pPr>
            <w:r>
              <w:t xml:space="preserve">Лицензиат</w:t>
            </w:r>
            <w:r/>
          </w:p>
        </w:tc>
        <w:tc>
          <w:tcPr>
            <w:tcBorders/>
            <w:tcW w:w="7454" w:type="dxa"/>
            <w:textDirection w:val="lrTb"/>
            <w:noWrap w:val="false"/>
          </w:tcPr>
          <w:p>
            <w:pPr>
              <w:pBdr/>
              <w:spacing/>
              <w:ind/>
              <w:rPr/>
            </w:pPr>
            <w:r>
              <w:t xml:space="preserve">{{ licensee_name_full }}</w:t>
            </w:r>
            <w:r/>
          </w:p>
        </w:tc>
      </w:tr>
      <w:tr>
        <w:trPr/>
        <w:tc>
          <w:tcPr>
            <w:tcBorders/>
            <w:tcW w:w="2322" w:type="dxa"/>
            <w:textDirection w:val="lrTb"/>
            <w:noWrap w:val="false"/>
          </w:tcPr>
          <w:p>
            <w:pPr>
              <w:pBdr/>
              <w:spacing/>
              <w:ind/>
              <w:rPr/>
            </w:pPr>
            <w:r>
              <w:t xml:space="preserve">Дата заключения</w:t>
            </w:r>
            <w:r/>
          </w:p>
        </w:tc>
        <w:tc>
          <w:tcPr>
            <w:tcBorders/>
            <w:tcW w:w="7454" w:type="dxa"/>
            <w:textDirection w:val="lrTb"/>
            <w:noWrap w:val="false"/>
          </w:tcPr>
          <w:p>
            <w:pPr>
              <w:pBdr/>
              <w:spacing/>
              <w:ind/>
              <w:rPr/>
            </w:pPr>
            <w:r>
              <w:t xml:space="preserve">{{ contract_date }}</w:t>
            </w:r>
            <w:r/>
          </w:p>
        </w:tc>
      </w:tr>
    </w:tbl>
    <w:p>
      <w:pPr>
        <w:widowControl w:val="false"/>
        <w:pBdr/>
        <w:spacing w:after="240" w:line="276" w:lineRule="auto"/>
        <w:ind w:firstLine="709" w:left="0"/>
        <w:jc w:val="both"/>
        <w:rPr/>
      </w:pPr>
      <w:r/>
      <w:r/>
    </w:p>
    <w:p>
      <w:pPr>
        <w:widowControl w:val="false"/>
        <w:pBdr/>
        <w:spacing w:after="240" w:line="276" w:lineRule="auto"/>
        <w:ind/>
        <w:jc w:val="both"/>
        <w:rPr/>
      </w:pPr>
      <w:r>
        <w:t xml:space="preserve">Лицензиар и Лицензиат, совместно именуемые «</w:t>
      </w:r>
      <w:r>
        <w:rPr>
          <w:b/>
        </w:rPr>
        <w:t xml:space="preserve">Стороны</w:t>
      </w:r>
      <w:r>
        <w:t xml:space="preserve">», а по отдельности «</w:t>
      </w:r>
      <w:r>
        <w:rPr>
          <w:b/>
        </w:rPr>
        <w:t xml:space="preserve">Сторона</w:t>
      </w:r>
      <w:r>
        <w:t xml:space="preserve">», заключили настоящий договор («</w:t>
      </w:r>
      <w:r>
        <w:rPr>
          <w:b/>
        </w:rPr>
        <w:t xml:space="preserve">Договор</w:t>
      </w:r>
      <w:r>
        <w:t xml:space="preserve">») о нижеследующем:</w:t>
      </w:r>
      <w:r/>
    </w:p>
    <w:p>
      <w:pPr>
        <w:pStyle w:val="1132"/>
        <w:pBdr/>
        <w:spacing/>
        <w:ind/>
        <w:rPr/>
      </w:pPr>
      <w:r>
        <w:t xml:space="preserve">ТЕРМИНЫ И ОПРЕДЕЛЕНИЯ</w:t>
      </w:r>
      <w:r/>
    </w:p>
    <w:p>
      <w:pPr>
        <w:widowControl w:val="false"/>
        <w:numPr>
          <w:ilvl w:val="1"/>
          <w:numId w:val="1"/>
        </w:numPr>
        <w:pBdr/>
        <w:spacing w:after="240" w:line="276" w:lineRule="auto"/>
        <w:ind w:firstLine="0" w:left="0"/>
        <w:jc w:val="both"/>
        <w:rPr/>
      </w:pPr>
      <w:r>
        <w:t xml:space="preserve">В рамках настоящего Договора нижеприведенные термины и определения используются равно в единственном и во множественном числе, если иное прямо не вытекает из контекста использования:</w:t>
      </w:r>
      <w:r/>
    </w:p>
    <w:p>
      <w:pPr>
        <w:widowControl w:val="false"/>
        <w:pBdr/>
        <w:spacing w:after="240" w:line="276" w:lineRule="auto"/>
        <w:ind/>
        <w:jc w:val="both"/>
        <w:rPr>
          <w:b/>
        </w:rPr>
      </w:pPr>
      <w:r>
        <w:rPr>
          <w:b/>
        </w:rPr>
        <w:t xml:space="preserve">Авторизованный домен — </w:t>
      </w:r>
      <w:r>
        <w:rPr>
          <w:b w:val="0"/>
          <w:bCs w:val="0"/>
        </w:rPr>
        <w:t xml:space="preserve">адреса электронной почты представителей Сторон, указанные в Договоре, а также адреса электронной почты Лицензиата, относящиеся к юридическому</w:t>
      </w:r>
      <w:r>
        <w:rPr>
          <w:b w:val="0"/>
          <w:bCs w:val="0"/>
        </w:rPr>
        <w:t xml:space="preserve"> лицу Лицензиата (трудоустроенные в юридическом лице Лицензиата или работающие с юридическим лицом Лицензиата по договору оказания услуг, использующие доменное имя @{{ licensee_domain }} где .xx может быть любым доменом верхнего уровня (.ru, .com и т.д.)).</w:t>
      </w:r>
      <w:r>
        <w:rPr>
          <w:b/>
        </w:rPr>
      </w:r>
      <w:r>
        <w:rPr>
          <w:b/>
        </w:rPr>
      </w:r>
    </w:p>
    <w:p>
      <w:pPr>
        <w:widowControl w:val="false"/>
        <w:pBdr/>
        <w:spacing w:after="240" w:line="276" w:lineRule="auto"/>
        <w:ind/>
        <w:jc w:val="both"/>
        <w:rPr/>
      </w:pPr>
      <w:r>
        <w:rPr>
          <w:b/>
        </w:rPr>
        <w:t xml:space="preserve">Аффилированное лицо</w:t>
      </w:r>
      <w:r>
        <w:t xml:space="preserve"> — любое юридическое или физическое лицо, которое имеет прямой или косвенный контроль над Стороной; над которым Сторона имеет прямой или косвенный контроль; либо которое находится со Стороной под общим прямым или косвенным контролем</w:t>
      </w:r>
      <w:r>
        <w:t xml:space="preserve">.</w:t>
      </w:r>
      <w:r/>
    </w:p>
    <w:p>
      <w:pPr>
        <w:widowControl w:val="false"/>
        <w:pBdr/>
        <w:spacing w:after="240" w:line="276" w:lineRule="auto"/>
        <w:ind/>
        <w:jc w:val="both"/>
        <w:rPr/>
      </w:pPr>
      <w:r>
        <w:rPr>
          <w:b/>
        </w:rPr>
        <w:t xml:space="preserve">Конфиденциальная информация</w:t>
      </w:r>
      <w:r>
        <w:t xml:space="preserve"> — любая информация (научно-техническая, технологическая, производственная, финансово-экономическая или иная, в том числе о средствах защиты ин</w:t>
      </w:r>
      <w:r>
        <w:t xml:space="preserve">формации, идентификации, аутентификации, авторизации (логинах, паролях и т.д.), статистическая, информация о клиентах, о продуктах, услугах, результатах исследований и т.д.), передаваемая одной Стороной другой Стороне в любой возможной форме (устной, письм</w:t>
      </w:r>
      <w:r>
        <w:t xml:space="preserve">енной, электронной, иной), а также размещённая в ПО и хранящаяся на серверах Лицензиара, которая имеет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w:t>
      </w:r>
      <w:r>
        <w:t xml:space="preserve">означенная передающей Стороной как конфиденциальная (в том числе в момент раскрытия); факт заключения и содержание Договора; а также любая информация, полученная путем выписки, обработки, обобщений или аналитических выкладок из Конфиденциальной информации.</w:t>
      </w:r>
      <w:r/>
    </w:p>
    <w:p>
      <w:pPr>
        <w:widowControl w:val="false"/>
        <w:pBdr/>
        <w:spacing w:after="240" w:line="276" w:lineRule="auto"/>
        <w:ind/>
        <w:jc w:val="both"/>
        <w:rPr/>
      </w:pPr>
      <w:r>
        <w:rPr>
          <w:b/>
        </w:rPr>
        <w:t xml:space="preserve">Контроль</w:t>
      </w:r>
      <w:r>
        <w:t xml:space="preserve"> - возможность прямо или косвенно определять решения, принимаемые лицом, в том числе через участие в его уставном (складочном) капитале, по с</w:t>
      </w:r>
      <w:r>
        <w:t xml:space="preserve">оглашению или иным способом, включая прямое или косвенное владение более чем 50 % голосующих акций/долей в уставном (складочном) капитале, возможность прямо или косвенно осуществлять контроль над большинством голосов на общем собрании участников или ином в</w:t>
      </w:r>
      <w:r>
        <w:t xml:space="preserve">ысшем органе управления такого лица и/или назначать большинство членов совета директоров или наблюдательного совета такого лица, иным образом полученное право управлять или право оказывать влияние на руководство или политику управляемого юридического лица.</w:t>
      </w:r>
      <w:r/>
    </w:p>
    <w:p>
      <w:pPr>
        <w:widowControl w:val="false"/>
        <w:pBdr/>
        <w:spacing w:after="240" w:line="276" w:lineRule="auto"/>
        <w:ind/>
        <w:jc w:val="both"/>
        <w:rPr/>
      </w:pPr>
      <w:r>
        <w:rPr>
          <w:b/>
        </w:rPr>
        <w:t xml:space="preserve">Лицензионное вознаграждение </w:t>
      </w:r>
      <w:r>
        <w:t xml:space="preserve">— вознаграждение Лицензиара за предоставление права использования Программного обеспечения по Договору, указанное в Приложении №1 к Договору и/или иных договорных документах.</w:t>
      </w:r>
      <w:r/>
    </w:p>
    <w:p>
      <w:pPr>
        <w:widowControl w:val="false"/>
        <w:pBdr/>
        <w:spacing w:after="240" w:line="276" w:lineRule="auto"/>
        <w:ind/>
        <w:jc w:val="both"/>
        <w:rPr/>
      </w:pPr>
      <w:r>
        <w:rPr>
          <w:b/>
        </w:rPr>
        <w:t xml:space="preserve">Лицензионный срок</w:t>
      </w:r>
      <w:r>
        <w:t xml:space="preserve"> — период, в течение которого Лицензиат вправе использовать Программное Обеспечение на условиях Договора и который согласован Сторонами в Приложении №1 к Договору.</w:t>
      </w:r>
      <w:r/>
    </w:p>
    <w:p>
      <w:pPr>
        <w:widowControl w:val="false"/>
        <w:pBdr/>
        <w:spacing w:after="240" w:line="276" w:lineRule="auto"/>
        <w:ind/>
        <w:jc w:val="both"/>
        <w:rPr/>
      </w:pPr>
      <w:r>
        <w:rPr>
          <w:b/>
        </w:rPr>
        <w:t xml:space="preserve">Программное Обеспечение (ПО) </w:t>
      </w:r>
      <w:r>
        <w:t xml:space="preserve">— программа для ЭВМ, в отношении которой Лицензиар обладает всеми необходимыми правами вне зависимости от типа таких прав (исключительное право, исключительная лицензия и/или неисключительная лицензия) для предоставления</w:t>
      </w:r>
      <w:r>
        <w:t xml:space="preserve"> Лицензиату прав использования по Договору. Наименование и тип лицензий Программного Обеспечения и иные условия в отношении состава Программного Обеспечения, согласуются Сторонами в Спецификации (Приложении № 1 к Договору) и/или иных договорных документах.</w:t>
      </w:r>
      <w:r/>
    </w:p>
    <w:p>
      <w:pPr>
        <w:widowControl w:val="false"/>
        <w:pBdr/>
        <w:spacing w:after="240" w:line="276" w:lineRule="auto"/>
        <w:ind/>
        <w:jc w:val="both"/>
        <w:rPr/>
      </w:pPr>
      <w:r>
        <w:rPr>
          <w:b/>
        </w:rPr>
        <w:t xml:space="preserve">Территория</w:t>
      </w:r>
      <w:r>
        <w:t xml:space="preserve"> — территория Российской Федерации.</w:t>
      </w:r>
      <w:r/>
    </w:p>
    <w:p>
      <w:pPr>
        <w:pStyle w:val="1132"/>
        <w:pBdr/>
        <w:spacing/>
        <w:ind/>
        <w:rPr/>
      </w:pPr>
      <w:r>
        <w:t xml:space="preserve">ПРЕДМЕТ ДОГОВОРА</w:t>
      </w:r>
      <w:r/>
    </w:p>
    <w:p>
      <w:pPr>
        <w:widowControl w:val="false"/>
        <w:numPr>
          <w:ilvl w:val="1"/>
          <w:numId w:val="1"/>
        </w:numPr>
        <w:pBdr/>
        <w:spacing w:after="240" w:line="276" w:lineRule="auto"/>
        <w:ind w:firstLine="0" w:left="0"/>
        <w:jc w:val="both"/>
        <w:rPr/>
      </w:pPr>
      <w:r>
        <w:t xml:space="preserve">Настоящим Лицензиар за Лицензионное вознаграждение предоставляет Лицензиату право использования Программного Обеспечения на условиях простой (неисключительной) лицензии в порядке и на условиях, предусмотренных в настоящем Договоре.</w:t>
      </w:r>
      <w:r/>
    </w:p>
    <w:p>
      <w:pPr>
        <w:widowControl w:val="false"/>
        <w:numPr>
          <w:ilvl w:val="1"/>
          <w:numId w:val="1"/>
        </w:numPr>
        <w:pBdr/>
        <w:spacing w:after="240" w:line="276" w:lineRule="auto"/>
        <w:ind w:firstLine="0" w:left="0"/>
        <w:jc w:val="both"/>
        <w:rPr/>
      </w:pPr>
      <w:r>
        <w:t xml:space="preserve">Лицензиат вправе использовать Программное Обеспечение в течение Лицензионного срока на Территории следующими способами: воспроизведение ПО путём удалённого доступа чере</w:t>
      </w:r>
      <w:r>
        <w:t xml:space="preserve">з сеть Интернет (подпункт 1 пункта 2 статьи 1270 ГК РФ), включая запуск, отображение и использование ПО по его функциональному назначению, в количестве учётных записей, равному количеству лицензий, указанных в Спецификации и/или иных договорных документах.</w:t>
      </w:r>
      <w:r/>
    </w:p>
    <w:p>
      <w:pPr>
        <w:widowControl w:val="false"/>
        <w:numPr>
          <w:ilvl w:val="1"/>
          <w:numId w:val="1"/>
        </w:numPr>
        <w:pBdr/>
        <w:spacing w:after="240" w:line="276" w:lineRule="auto"/>
        <w:ind w:firstLine="0" w:left="0"/>
        <w:jc w:val="both"/>
        <w:rPr/>
      </w:pPr>
      <w:r>
        <w:t xml:space="preserve">Лицензиат не приобретает каких-либо прав на ПО, за исключением оговоренных в настоящем Договоре. </w:t>
      </w:r>
      <w:r/>
    </w:p>
    <w:p>
      <w:pPr>
        <w:widowControl w:val="false"/>
        <w:numPr>
          <w:ilvl w:val="1"/>
          <w:numId w:val="1"/>
        </w:numPr>
        <w:pBdr/>
        <w:spacing w:after="240" w:line="276" w:lineRule="auto"/>
        <w:ind w:firstLine="0" w:left="0"/>
        <w:jc w:val="both"/>
        <w:rPr/>
      </w:pPr>
      <w:r>
        <w:t xml:space="preserve">Лицензиат не обязан предоставлять Лицензиару какие-либо отчеты об использовании ПО.</w:t>
      </w:r>
      <w:r/>
    </w:p>
    <w:p>
      <w:pPr>
        <w:widowControl w:val="false"/>
        <w:numPr>
          <w:ilvl w:val="1"/>
          <w:numId w:val="1"/>
        </w:numPr>
        <w:pBdr/>
        <w:spacing w:after="240" w:line="276" w:lineRule="auto"/>
        <w:ind w:firstLine="0" w:left="0"/>
        <w:jc w:val="both"/>
        <w:rPr/>
      </w:pPr>
      <w:r>
        <w:t xml:space="preserve">Лицензиат вправе в любой момент и без согласован</w:t>
      </w:r>
      <w:r>
        <w:t xml:space="preserve">ия с Лицензиаром переназначать пользователей учётных записей ПО в пределах своих сотрудников и/или третьих лиц, действующих исключительно по запросу от Лицензиата, имеющие с Лицензиатом гражданско-правовые отношения либо являющиеся подрядчиком Лицензиата. </w:t>
      </w:r>
      <w:r/>
    </w:p>
    <w:p>
      <w:pPr>
        <w:pStyle w:val="1082"/>
        <w:widowControl w:val="false"/>
        <w:numPr>
          <w:ilvl w:val="1"/>
          <w:numId w:val="1"/>
        </w:numPr>
        <w:pBdr/>
        <w:spacing w:after="240" w:line="276" w:lineRule="auto"/>
        <w:ind w:hanging="709" w:left="709"/>
        <w:contextualSpacing w:val="false"/>
        <w:jc w:val="both"/>
        <w:rPr/>
      </w:pPr>
      <w:r/>
      <w:bookmarkStart w:id="1" w:name="_Hlk51751735"/>
      <w:r>
        <w:t xml:space="preserve">Лицензиат не вправе:</w:t>
      </w:r>
      <w:r/>
    </w:p>
    <w:p>
      <w:pPr>
        <w:pStyle w:val="1082"/>
        <w:widowControl w:val="false"/>
        <w:numPr>
          <w:ilvl w:val="2"/>
          <w:numId w:val="1"/>
        </w:numPr>
        <w:pBdr/>
        <w:spacing w:after="240" w:line="276" w:lineRule="auto"/>
        <w:ind w:firstLine="0" w:left="567"/>
        <w:contextualSpacing w:val="false"/>
        <w:jc w:val="both"/>
        <w:rPr/>
      </w:pPr>
      <w:r>
        <w:t xml:space="preserve">модифицировать ПО; </w:t>
      </w:r>
      <w:r/>
    </w:p>
    <w:p>
      <w:pPr>
        <w:pStyle w:val="1082"/>
        <w:widowControl w:val="false"/>
        <w:numPr>
          <w:ilvl w:val="2"/>
          <w:numId w:val="1"/>
        </w:numPr>
        <w:pBdr/>
        <w:spacing w:after="240" w:line="276" w:lineRule="auto"/>
        <w:ind w:firstLine="0" w:left="567"/>
        <w:contextualSpacing w:val="false"/>
        <w:jc w:val="both"/>
        <w:rPr/>
      </w:pPr>
      <w:r>
        <w:t xml:space="preserve">осуществлять декомпиляцию, расшифровку, дизассемблирование ПО;</w:t>
      </w:r>
      <w:r/>
    </w:p>
    <w:p>
      <w:pPr>
        <w:widowControl w:val="false"/>
        <w:numPr>
          <w:ilvl w:val="2"/>
          <w:numId w:val="1"/>
        </w:numPr>
        <w:pBdr/>
        <w:spacing w:after="240" w:line="276" w:lineRule="auto"/>
        <w:ind w:firstLine="0" w:left="567"/>
        <w:jc w:val="both"/>
        <w:rPr/>
      </w:pPr>
      <w:r>
        <w:t xml:space="preserve">использовать ПО иными способами, кроме указанных в Договоре;</w:t>
      </w:r>
      <w:bookmarkEnd w:id="1"/>
      <w:r/>
      <w:r/>
    </w:p>
    <w:p>
      <w:pPr>
        <w:widowControl w:val="false"/>
        <w:numPr>
          <w:ilvl w:val="2"/>
          <w:numId w:val="1"/>
        </w:numPr>
        <w:pBdr/>
        <w:spacing w:after="240" w:line="276" w:lineRule="auto"/>
        <w:ind w:firstLine="0" w:left="567"/>
        <w:jc w:val="both"/>
        <w:rPr/>
      </w:pPr>
      <w:r>
        <w:t xml:space="preserve">предоставлять сублицензии третьим лицам без предварительного письменного согласия Лицензиара.</w:t>
      </w:r>
      <w:r/>
    </w:p>
    <w:p>
      <w:pPr>
        <w:pStyle w:val="1132"/>
        <w:pBdr/>
        <w:spacing/>
        <w:ind/>
        <w:rPr/>
      </w:pPr>
      <w:r>
        <w:t xml:space="preserve">ПОРЯДОК ПРЕДОСТАВЛЕНИЯ ПРАВА НА ИСПОЛЬЗОВАНИЕ ПО</w:t>
      </w:r>
      <w:r/>
    </w:p>
    <w:p>
      <w:pPr>
        <w:widowControl w:val="false"/>
        <w:numPr>
          <w:ilvl w:val="1"/>
          <w:numId w:val="1"/>
        </w:numPr>
        <w:pBdr/>
        <w:spacing w:after="240" w:line="276" w:lineRule="auto"/>
        <w:ind w:firstLine="0" w:left="0"/>
        <w:jc w:val="both"/>
        <w:rPr/>
      </w:pPr>
      <w:r>
        <w:t xml:space="preserve">Право использования ПО по Договору предоставляется Лицензиату с даты подписания Сторонами Договора, если иное не указано в Спецификации (Приложение №1 к Договору).</w:t>
      </w:r>
      <w:r/>
    </w:p>
    <w:p>
      <w:pPr>
        <w:widowControl w:val="false"/>
        <w:numPr>
          <w:ilvl w:val="1"/>
          <w:numId w:val="1"/>
        </w:numPr>
        <w:pBdr/>
        <w:spacing w:after="240" w:line="276" w:lineRule="auto"/>
        <w:ind w:firstLine="0" w:left="0"/>
        <w:jc w:val="both"/>
        <w:rPr/>
      </w:pPr>
      <w:r>
        <w:t xml:space="preserve">Лицензиар предоставляет Лицензиату лицензии путём предоставлени</w:t>
      </w:r>
      <w:r>
        <w:t xml:space="preserve">я доступа к учётным записям пользователей, которые были приглашены Лицензиатом. Одна лицензия соответствует одной учётной записи. Лицензиат самостоятельно, используя функционал ПО, приглашает пользователей зарегистрироваться и создать учётную запись в ПО. </w:t>
      </w:r>
      <w:r/>
    </w:p>
    <w:p>
      <w:pPr>
        <w:pStyle w:val="1132"/>
        <w:pBdr/>
        <w:spacing/>
        <w:ind/>
        <w:rPr/>
      </w:pPr>
      <w:r>
        <w:t xml:space="preserve">ВОЗНАГРАЖДЕНИЕ И ПОРЯДОК ОПЛАТЫ</w:t>
      </w:r>
      <w:r/>
    </w:p>
    <w:p>
      <w:pPr>
        <w:widowControl w:val="false"/>
        <w:numPr>
          <w:ilvl w:val="1"/>
          <w:numId w:val="1"/>
        </w:numPr>
        <w:pBdr/>
        <w:spacing w:after="240" w:line="276" w:lineRule="auto"/>
        <w:ind w:firstLine="0" w:left="0"/>
        <w:jc w:val="both"/>
        <w:rPr/>
      </w:pPr>
      <w:r>
        <w:t xml:space="preserve">Лицензионное вознаграждение за предоставление права использования ПО согласовывается Сторонами в Приложении №1 к настоящему Договору и/или иных договорных документах.</w:t>
      </w:r>
      <w:r/>
    </w:p>
    <w:p>
      <w:pPr>
        <w:widowControl w:val="false"/>
        <w:numPr>
          <w:ilvl w:val="1"/>
          <w:numId w:val="1"/>
        </w:numPr>
        <w:pBdr/>
        <w:spacing w:after="240" w:line="276" w:lineRule="auto"/>
        <w:ind w:firstLine="0" w:left="0"/>
        <w:jc w:val="both"/>
        <w:rPr/>
      </w:pPr>
      <w:r>
        <w:t xml:space="preserve">Оплата Лицензионного вознаграждения по Договору осуществляется Лицензиатом в российских рублях в течение 5 (пяти) рабочих дней с даты получения счета от Лицензиара.</w:t>
      </w:r>
      <w:r/>
    </w:p>
    <w:p>
      <w:pPr>
        <w:widowControl w:val="false"/>
        <w:numPr>
          <w:ilvl w:val="1"/>
          <w:numId w:val="1"/>
        </w:numPr>
        <w:pBdr/>
        <w:spacing w:after="240" w:line="276" w:lineRule="auto"/>
        <w:ind w:firstLine="0" w:left="0"/>
        <w:jc w:val="both"/>
        <w:rPr/>
      </w:pPr>
      <w:r>
        <w:t xml:space="preserve">Оплата лицензий возможна на срок не менее 3-х календарных месяцев.</w:t>
      </w:r>
      <w:r/>
    </w:p>
    <w:p>
      <w:pPr>
        <w:widowControl w:val="false"/>
        <w:numPr>
          <w:ilvl w:val="1"/>
          <w:numId w:val="1"/>
        </w:numPr>
        <w:pBdr/>
        <w:spacing w:after="240" w:line="276" w:lineRule="auto"/>
        <w:ind w:firstLine="0" w:left="0"/>
        <w:jc w:val="both"/>
        <w:rPr/>
      </w:pPr>
      <w:r>
        <w:t xml:space="preserve">Обязательства Лицензиата по оплате Лицензионного вознаграждения по настоящему Договору считаются выполненными с момента зачисления денежных средств на корреспондентский счет банка Лицензиара. </w:t>
      </w:r>
      <w:r/>
    </w:p>
    <w:p>
      <w:pPr>
        <w:pStyle w:val="1132"/>
        <w:pBdr/>
        <w:spacing/>
        <w:ind/>
        <w:rPr/>
      </w:pPr>
      <w:r>
        <w:t xml:space="preserve">ЗАВЕРЕНИЯ ОБ ОБСТОЯТЕЛЬСТВАХ</w:t>
      </w:r>
      <w:r/>
    </w:p>
    <w:p>
      <w:pPr>
        <w:widowControl w:val="false"/>
        <w:numPr>
          <w:ilvl w:val="1"/>
          <w:numId w:val="1"/>
        </w:numPr>
        <w:pBdr/>
        <w:spacing w:after="240" w:line="276" w:lineRule="auto"/>
        <w:ind w:firstLine="0" w:left="0"/>
        <w:jc w:val="both"/>
        <w:rPr/>
      </w:pPr>
      <w:r/>
      <w:bookmarkStart w:id="2" w:name="OLE_LINK1"/>
      <w:r>
        <w:t xml:space="preserve">Настоящим Лицензиар предоставляет Лицензиату следующие заверения об обстоятельствах:</w:t>
      </w:r>
      <w:bookmarkEnd w:id="2"/>
      <w:r/>
      <w:r/>
    </w:p>
    <w:p>
      <w:pPr>
        <w:widowControl w:val="false"/>
        <w:pBdr/>
        <w:spacing w:after="240" w:line="276" w:lineRule="auto"/>
        <w:ind w:firstLine="0" w:left="567"/>
        <w:jc w:val="both"/>
        <w:rPr/>
      </w:pPr>
      <w:r>
        <w:t xml:space="preserve">5.1.1. </w:t>
      </w:r>
      <w:bookmarkStart w:id="3" w:name="OLE_LINK2"/>
      <w:r>
        <w:t xml:space="preserve">Лицензиар обладает всеми необходимыми правами и полномочиями для заключения Договора и его исполнения в полном объеме, в том числе им были получены все необходимые согласия и/или одобрения третьих лиц.</w:t>
      </w:r>
      <w:bookmarkEnd w:id="3"/>
      <w:r/>
      <w:r/>
    </w:p>
    <w:p>
      <w:pPr>
        <w:widowControl w:val="false"/>
        <w:pBdr/>
        <w:spacing w:after="240" w:line="276" w:lineRule="auto"/>
        <w:ind w:firstLine="0" w:left="567"/>
        <w:jc w:val="both"/>
        <w:rPr/>
      </w:pPr>
      <w:r>
        <w:t xml:space="preserve">5.1.2. ПО и права его использов</w:t>
      </w:r>
      <w:r>
        <w:t xml:space="preserve">ания не являются предметом залога или спора, не нарушают каких-либо интеллектуальных, в том числе авторских, неимущественных и/или имущественных прав каких-либо третьих лиц, и дальнейшее использование Лицензиатом ПО не нарушает указанные права третьих лиц.</w:t>
      </w:r>
      <w:r/>
    </w:p>
    <w:p>
      <w:pPr>
        <w:widowControl w:val="false"/>
        <w:pBdr/>
        <w:spacing w:after="240" w:line="276" w:lineRule="auto"/>
        <w:ind w:firstLine="0" w:left="567"/>
        <w:jc w:val="both"/>
        <w:rPr/>
      </w:pPr>
      <w:r>
        <w:t xml:space="preserve">5.1.3. ПО не содержит вирусов, вредоносных программ и иных потенциально опасных компонентов. Лицензиар не несёт ответственности за вредоносные программы и компоненты, содержащиеся в контенте, загружаемом пользователями ПО (Пользовательский контент).</w:t>
      </w:r>
      <w:r/>
    </w:p>
    <w:p>
      <w:pPr>
        <w:widowControl w:val="false"/>
        <w:numPr>
          <w:ilvl w:val="1"/>
          <w:numId w:val="1"/>
        </w:numPr>
        <w:pBdr/>
        <w:spacing w:after="240" w:line="276" w:lineRule="auto"/>
        <w:ind w:firstLine="0" w:left="0"/>
        <w:jc w:val="both"/>
        <w:rPr/>
      </w:pPr>
      <w:r>
        <w:t xml:space="preserve">Настоящим Лицензиат предоставляет Лицензиару следующие заверения об обстоятельствах:</w:t>
      </w:r>
      <w:r/>
    </w:p>
    <w:p>
      <w:pPr>
        <w:widowControl w:val="false"/>
        <w:numPr>
          <w:ilvl w:val="2"/>
          <w:numId w:val="1"/>
        </w:numPr>
        <w:pBdr/>
        <w:spacing w:after="240" w:line="276" w:lineRule="auto"/>
        <w:ind w:firstLine="0" w:left="567"/>
        <w:jc w:val="both"/>
        <w:rPr/>
      </w:pPr>
      <w:r>
        <w:t xml:space="preserve">Лицензиат обладает всеми необходимыми правами и полномочиями для заключения Договора и его исполнения в полном объеме, в том числе им были получены все необходимые согласия и/или одобрения третьих лиц.</w:t>
      </w:r>
      <w:r/>
    </w:p>
    <w:p>
      <w:pPr>
        <w:widowControl w:val="false"/>
        <w:numPr>
          <w:ilvl w:val="2"/>
          <w:numId w:val="1"/>
        </w:numPr>
        <w:pBdr/>
        <w:spacing w:after="240" w:line="276" w:lineRule="auto"/>
        <w:ind w:firstLine="0" w:left="567"/>
        <w:jc w:val="both"/>
        <w:rPr/>
      </w:pPr>
      <w:r>
        <w:t xml:space="preserve">В случае, если для Лицензиата, настоящий Договор является крупной сделкой, то Лицензиат гарантирует получение одобрения органом, уполномоченным Уставом Лицензиата, на заключение настоящего Договора на момент его подписания.</w:t>
      </w:r>
      <w:r/>
    </w:p>
    <w:p>
      <w:pPr>
        <w:widowControl w:val="false"/>
        <w:numPr>
          <w:ilvl w:val="1"/>
          <w:numId w:val="1"/>
        </w:numPr>
        <w:pBdr/>
        <w:spacing w:after="240" w:line="276" w:lineRule="auto"/>
        <w:ind w:firstLine="0" w:left="0"/>
        <w:jc w:val="both"/>
        <w:rPr/>
      </w:pPr>
      <w:r>
        <w:t xml:space="preserve">З</w:t>
      </w:r>
      <w:r>
        <w:t xml:space="preserve">аверения об обстоятельствах, содержащиеся в пунктах 5.1 и 5.2 Договора, имеют существенное значение для соответствующей Стороны при заключении и исполнении Договора. Заключая Договор, каждая Сторона полагается на заверения, предоставленные другой Стороной.</w:t>
      </w:r>
      <w:r/>
    </w:p>
    <w:p>
      <w:pPr>
        <w:pStyle w:val="1132"/>
        <w:pBdr/>
        <w:spacing/>
        <w:ind/>
        <w:rPr/>
      </w:pPr>
      <w:r>
        <w:t xml:space="preserve">ОБЯЗАТЕЛЬСТВА ПО УРЕГУЛИРОВАНИЮ ПРЕТЕНЗИЙ И ВОЗМЕЩЕНИЮ ПОТЕРЬ</w:t>
      </w:r>
      <w:r/>
    </w:p>
    <w:p>
      <w:pPr>
        <w:widowControl w:val="false"/>
        <w:numPr>
          <w:ilvl w:val="1"/>
          <w:numId w:val="1"/>
        </w:numPr>
        <w:pBdr/>
        <w:spacing w:after="240" w:line="276" w:lineRule="auto"/>
        <w:ind w:firstLine="0" w:left="0"/>
        <w:jc w:val="both"/>
        <w:rPr/>
      </w:pPr>
      <w:r>
        <w:t xml:space="preserve">Если в результате нарушения Сторонами каких-либо из заверений, указанных Разделе 5 Договора, другой Стороне</w:t>
      </w:r>
      <w:r>
        <w:t xml:space="preserve"> предъявлены претензии и/или иски со стороны третьих лиц и/или предписания государственных или муниципальных органов в связи с настоящим Договором, первая Сторона обязуется урегулировать такие претензии, иски или предписания самостоятельно и за свой счет. </w:t>
      </w:r>
      <w:r/>
    </w:p>
    <w:p>
      <w:pPr>
        <w:widowControl w:val="false"/>
        <w:numPr>
          <w:ilvl w:val="1"/>
          <w:numId w:val="1"/>
        </w:numPr>
        <w:pBdr/>
        <w:spacing w:after="240" w:line="276" w:lineRule="auto"/>
        <w:ind w:firstLine="0" w:left="0"/>
        <w:jc w:val="both"/>
        <w:rPr/>
      </w:pPr>
      <w:r>
        <w:t xml:space="preserve">В случае, если в связи с претензиями и/или исками, указанными в пункте 6.1 Договора, у пострадавшей Стороны возникнут имущественные потери (ст. 406.1 Гражданского кодекса РФ), включая суммы возмещения убытков, компе</w:t>
      </w:r>
      <w:r>
        <w:t xml:space="preserve">нсаций, штрафов, иных выплат третьим лицам, а также судебные издержки, нарушившая Сторона обязуется возместить пострадавшей Стороне такие потери в полном объёме на основании документов, подтверждающих соответствующие выплаты или обязанность их осуществить.</w:t>
      </w:r>
      <w:r/>
    </w:p>
    <w:p>
      <w:pPr>
        <w:widowControl w:val="false"/>
        <w:numPr>
          <w:ilvl w:val="1"/>
          <w:numId w:val="1"/>
        </w:numPr>
        <w:pBdr/>
        <w:spacing w:after="240" w:line="276" w:lineRule="auto"/>
        <w:ind w:firstLine="0" w:left="0"/>
        <w:jc w:val="both"/>
        <w:rPr/>
      </w:pPr>
      <w:r>
        <w:t xml:space="preserve">Гарантии Лицензиара по уровню доступности ПО указаны в приложении №2 к настоящему Договору.</w:t>
      </w:r>
      <w:r/>
    </w:p>
    <w:p>
      <w:pPr>
        <w:pStyle w:val="1132"/>
        <w:pBdr/>
        <w:spacing/>
        <w:ind/>
        <w:rPr/>
      </w:pPr>
      <w:r>
        <w:t xml:space="preserve">СРОК ДЕЙСТВИЯ ДОГОВОРА</w:t>
      </w:r>
      <w:r/>
    </w:p>
    <w:p>
      <w:pPr>
        <w:widowControl w:val="false"/>
        <w:numPr>
          <w:ilvl w:val="1"/>
          <w:numId w:val="1"/>
        </w:numPr>
        <w:pBdr/>
        <w:spacing w:after="240" w:line="276" w:lineRule="auto"/>
        <w:ind w:firstLine="0" w:left="0"/>
        <w:jc w:val="both"/>
        <w:rPr/>
      </w:pPr>
      <w:r>
        <w:t xml:space="preserve">Настоящий Договор вступает в силу с даты его подписания обеими Сторонами (даты, указанной на первой странице Договора) и действует бессрочно.</w:t>
      </w:r>
      <w:r/>
    </w:p>
    <w:p>
      <w:pPr>
        <w:widowControl w:val="false"/>
        <w:numPr>
          <w:ilvl w:val="1"/>
          <w:numId w:val="1"/>
        </w:numPr>
        <w:pBdr/>
        <w:spacing w:after="240" w:line="276" w:lineRule="auto"/>
        <w:ind w:firstLine="0" w:left="0"/>
        <w:jc w:val="both"/>
        <w:rPr/>
      </w:pPr>
      <w:r>
        <w:t xml:space="preserve">Каждая из Сторон вправе незамедлительно расторгнуть Договор в одно</w:t>
      </w:r>
      <w:r>
        <w:t xml:space="preserve">стороннем внесудебном порядке в случае существенного нарушения другой Стороной условий Договора или недостоверности заверений, предусмотренных разделом 5 Договора, путем направления в адрес такой другой Стороны письменного уведомления о расторжении Договор</w:t>
      </w:r>
      <w:r>
        <w:t xml:space="preserve">а. При этом Договор считается расторгнутым с даты, указанной в таком уведомлении. Под существенным нарушением понимается нарушение, которое не было исправлено Стороной в течение 10 (десяти) рабочих дней с даты получения требования об устранении нарушения. </w:t>
      </w:r>
      <w:r/>
    </w:p>
    <w:p>
      <w:pPr>
        <w:widowControl w:val="false"/>
        <w:numPr>
          <w:ilvl w:val="1"/>
          <w:numId w:val="1"/>
        </w:numPr>
        <w:pBdr/>
        <w:spacing w:after="240" w:line="276" w:lineRule="auto"/>
        <w:ind w:firstLine="0" w:left="0"/>
        <w:jc w:val="both"/>
        <w:rPr/>
      </w:pPr>
      <w:r>
        <w:t xml:space="preserve">Каждая из Сторон вправе расторгнуть Договор в одностороннем внесудебном порядке при условии уведомления другой Стороны не менее, чем за 30 дней до даты предполагаемого расторжения Договора.</w:t>
      </w:r>
      <w:r/>
    </w:p>
    <w:p>
      <w:pPr>
        <w:widowControl w:val="false"/>
        <w:numPr>
          <w:ilvl w:val="1"/>
          <w:numId w:val="1"/>
        </w:numPr>
        <w:pBdr/>
        <w:spacing w:after="240" w:line="276" w:lineRule="auto"/>
        <w:ind w:firstLine="0" w:left="0"/>
        <w:jc w:val="both"/>
        <w:rPr/>
      </w:pPr>
      <w:r>
        <w:t xml:space="preserve">При досрочном прекращении Договора Стороны согласуют проведение взаиморасчётов и оформляют Акт сверки взаимных расчётов.</w:t>
      </w:r>
      <w:r>
        <w:t xml:space="preserve"> Отчётный период равен одному месяцу. Возврат денежных средств Лицензиаром не предусмотрен. При составлении Акта сверки взаимных расчетов Стороны принимают во внимание все платежи, полученные Лицензиаром от Лицензиата до даты прекращения действия Договора.</w:t>
      </w:r>
      <w:r/>
    </w:p>
    <w:p>
      <w:pPr>
        <w:pStyle w:val="1132"/>
        <w:pBdr/>
        <w:spacing/>
        <w:ind/>
        <w:rPr/>
      </w:pPr>
      <w:r>
        <w:t xml:space="preserve">ОТВЕТСТВЕННОСТЬ СТОРОН</w:t>
      </w:r>
      <w:r/>
    </w:p>
    <w:p>
      <w:pPr>
        <w:widowControl w:val="false"/>
        <w:numPr>
          <w:ilvl w:val="1"/>
          <w:numId w:val="1"/>
        </w:numPr>
        <w:pBdr/>
        <w:spacing w:after="240" w:line="276" w:lineRule="auto"/>
        <w:ind w:firstLine="0" w:left="0"/>
        <w:jc w:val="both"/>
        <w:rPr/>
      </w:pPr>
      <w:r>
        <w:t xml:space="preserve">Совокупный максимальный размер ответственности кажд</w:t>
      </w:r>
      <w:r>
        <w:t xml:space="preserve">ой из Сторон по настоящему Договору (включая, но не ограничиваясь, штрафы, пени, неустойки по пунктам 8.2–8.4 Договора, а также возмещение убытков) в течение любого 12-месячного периода ограничен суммой лицензионного платежа за 1 (один) календарный месяц. </w:t>
      </w:r>
      <w:bookmarkStart w:id="5" w:name="OLE_LINK10"/>
      <w:r/>
      <w:bookmarkEnd w:id="5"/>
      <w:r/>
      <w:r/>
    </w:p>
    <w:p>
      <w:pPr>
        <w:widowControl w:val="false"/>
        <w:numPr>
          <w:ilvl w:val="1"/>
          <w:numId w:val="1"/>
        </w:numPr>
        <w:pBdr/>
        <w:spacing w:after="240" w:line="276" w:lineRule="auto"/>
        <w:ind w:firstLine="0" w:left="0"/>
        <w:jc w:val="both"/>
        <w:rPr/>
      </w:pPr>
      <w:r>
        <w:t xml:space="preserve">В случае недостоверности какого-либо из завер</w:t>
      </w:r>
      <w:r>
        <w:t xml:space="preserve">ений об обстоятельствах, предусмотренных разделом 5 Договора, нарушившая Сторона обязуется по письменному требованию пострадавшей Стороны выплатить пострадавшей Стороне штрафную неустойку в размере суммы лицензионного платежа за 1 (один) календарный месяц.</w:t>
      </w:r>
      <w:r/>
    </w:p>
    <w:p>
      <w:pPr>
        <w:widowControl w:val="false"/>
        <w:numPr>
          <w:ilvl w:val="1"/>
          <w:numId w:val="1"/>
        </w:numPr>
        <w:pBdr/>
        <w:spacing w:after="240" w:line="276" w:lineRule="auto"/>
        <w:ind w:firstLine="0" w:left="0"/>
        <w:jc w:val="both"/>
        <w:rPr/>
      </w:pPr>
      <w:r>
        <w:t xml:space="preserve">В случае нарушения Лицензиатом сроков оплаты Вознаграждения Лицензиара, определенного в соответствии с Ра</w:t>
      </w:r>
      <w:r>
        <w:t xml:space="preserve">зделом 4 Договора, Лицензиат обязуется по письменному требованию Лицензиара уплатить Лицензиару неустойку в размере 1% (одного процента) от суммы задолженности за каждый день просрочки, но не более суммы лицензионного платежа за 1 (один) календарный месяц.</w:t>
      </w:r>
      <w:r/>
    </w:p>
    <w:p>
      <w:pPr>
        <w:widowControl w:val="false"/>
        <w:numPr>
          <w:ilvl w:val="1"/>
          <w:numId w:val="1"/>
        </w:numPr>
        <w:pBdr/>
        <w:spacing w:after="240" w:line="276" w:lineRule="auto"/>
        <w:ind w:firstLine="0" w:left="0"/>
        <w:jc w:val="both"/>
        <w:rPr/>
      </w:pPr>
      <w:r>
        <w:t xml:space="preserve">Стороны допускают, что Программное Обеспечение не свободно от программных ошибок (предоставляется по правилу as-is («как есть»)), неустойчивости в работе, може</w:t>
      </w:r>
      <w:r>
        <w:t xml:space="preserve">т различным образом взаимодействовать с различными операционными системами, программами и/или их компонентами и/или аппаратной составляющей. Лицензиар не несет ответственность за указанные в настоящем пункте любого рода недостатки Программного Обеспечения.</w:t>
      </w:r>
      <w:r/>
    </w:p>
    <w:p>
      <w:pPr>
        <w:widowControl w:val="false"/>
        <w:numPr>
          <w:ilvl w:val="1"/>
          <w:numId w:val="1"/>
        </w:numPr>
        <w:pBdr/>
        <w:spacing w:after="240" w:line="276" w:lineRule="auto"/>
        <w:ind w:firstLine="0" w:left="0"/>
        <w:jc w:val="both"/>
        <w:rPr/>
      </w:pPr>
      <w:r>
        <w:t xml:space="preserve">Стороны не несут перед друг другом ответственность за какие-либо косвенные убытки, в том числе упущенную выгоду, за исключением случаев умышленного нарушения Договора какой-либо Стороной.</w:t>
      </w:r>
      <w:r/>
    </w:p>
    <w:p>
      <w:pPr>
        <w:pStyle w:val="1132"/>
        <w:pBdr/>
        <w:spacing/>
        <w:ind/>
        <w:rPr/>
      </w:pPr>
      <w:r>
        <w:t xml:space="preserve">ФОРС-МАЖОР</w:t>
      </w:r>
      <w:r/>
    </w:p>
    <w:p>
      <w:pPr>
        <w:widowControl w:val="false"/>
        <w:numPr>
          <w:ilvl w:val="1"/>
          <w:numId w:val="1"/>
        </w:numPr>
        <w:pBdr/>
        <w:spacing w:after="240" w:line="276" w:lineRule="auto"/>
        <w:ind w:firstLine="0" w:left="0"/>
        <w:jc w:val="both"/>
        <w:rPr/>
      </w:pPr>
      <w:r>
        <w:t xml:space="preserve">Стороны освобождаются от ответственности за частичное или полное неисполнение обязательств (в том числе ненадлежащее исполнение) по Договору, если это неисполнение явилось следствием обстоятельств непреодолимой силы, во</w:t>
      </w:r>
      <w:r>
        <w:t xml:space="preserve">зникших после заключения Договора, включая, но не ограничиваясь: террористический акт, саботаж, экспроприация, конфискация, реквизиция, национализация; введение экономических санкций, ограничительных мер, решений государственных органов, ограничивающих воз</w:t>
      </w:r>
      <w:r>
        <w:t xml:space="preserve">можность исполнения обязательств по Договору; эпидемия, пандемия, стихийное бедствие или чрезвычайное природное событие; взрыв, пожар, всеобщие трудовые волнения, такие как бойкот, забастовка и локаут, которые Стороны не могли предвидеть или предотвратить.</w:t>
      </w:r>
      <w:r/>
    </w:p>
    <w:p>
      <w:pPr>
        <w:widowControl w:val="false"/>
        <w:numPr>
          <w:ilvl w:val="1"/>
          <w:numId w:val="1"/>
        </w:numPr>
        <w:pBdr/>
        <w:spacing w:after="240" w:line="276" w:lineRule="auto"/>
        <w:ind w:firstLine="0" w:left="0"/>
        <w:jc w:val="both"/>
        <w:rPr/>
      </w:pPr>
      <w:r>
        <w:t xml:space="preserve">Сторона, затронутая обстоятельствами непреодолимой силы, обязана письменно уведомить другую Сторону об их наступлении и прекращении в течение 7 (семи) календарных дней. Уведомление должно содержать описание обс</w:t>
      </w:r>
      <w:r>
        <w:t xml:space="preserve">тоятельств и их влияния на исполнение обязательств. Срок исполнения обязательств увеличивается соразмерно сроку действия обстоятельств непреодолимой силы. Неуведомление или несвоевременное уведомление лишает Сторону права ссылаться на такие обстоятельства.</w:t>
      </w:r>
      <w:r/>
    </w:p>
    <w:p>
      <w:pPr>
        <w:widowControl w:val="false"/>
        <w:numPr>
          <w:ilvl w:val="1"/>
          <w:numId w:val="1"/>
        </w:numPr>
        <w:pBdr/>
        <w:spacing w:after="240" w:line="276" w:lineRule="auto"/>
        <w:ind w:firstLine="0" w:left="0"/>
        <w:jc w:val="both"/>
        <w:rPr/>
      </w:pPr>
      <w:r>
        <w:t xml:space="preserve">Если обстоятельства, предусмотренные п. 9.1 Договора, продлятся свыше 14 (четырнадцати) календарных дней, Стороны обязаны вступить в процесс переговоров, для целей минимизации убытков Сторон, а также определить порядок дальнейшего исполнения Договора.</w:t>
      </w:r>
      <w:r/>
    </w:p>
    <w:p>
      <w:pPr>
        <w:pStyle w:val="1132"/>
        <w:pBdr/>
        <w:spacing/>
        <w:ind/>
        <w:rPr/>
      </w:pPr>
      <w:r>
        <w:t xml:space="preserve">ПРИМЕНИМОЕ ПРАВО И ПОРЯДОК РАЗРЕШЕНИЯ СПОРОВ</w:t>
      </w:r>
      <w:r/>
    </w:p>
    <w:p>
      <w:pPr>
        <w:widowControl w:val="false"/>
        <w:numPr>
          <w:ilvl w:val="1"/>
          <w:numId w:val="1"/>
        </w:numPr>
        <w:pBdr/>
        <w:spacing w:after="240" w:line="276" w:lineRule="auto"/>
        <w:ind w:right="-1" w:firstLine="0" w:left="0"/>
        <w:jc w:val="both"/>
        <w:rPr/>
      </w:pPr>
      <w:r>
        <w:t xml:space="preserve">Договор регулируется и толкуется в соответствии с законодательством Российской Федерации.</w:t>
      </w:r>
      <w:r/>
    </w:p>
    <w:p>
      <w:pPr>
        <w:widowControl w:val="false"/>
        <w:numPr>
          <w:ilvl w:val="1"/>
          <w:numId w:val="1"/>
        </w:numPr>
        <w:pBdr/>
        <w:spacing w:after="240" w:line="276" w:lineRule="auto"/>
        <w:ind w:right="-1" w:firstLine="0" w:left="0"/>
        <w:jc w:val="both"/>
        <w:rPr/>
      </w:pPr>
      <w:r>
        <w:t xml:space="preserve">Стороны обязаны соблюсти досудебный претензионный порядок. Сторона, получившая претензию, обязана рассмотреть её и направить мотивированный ответ в течение 10 (десяти) рабочих дней с даты получения.</w:t>
      </w:r>
      <w:r/>
    </w:p>
    <w:p>
      <w:pPr>
        <w:widowControl w:val="false"/>
        <w:numPr>
          <w:ilvl w:val="1"/>
          <w:numId w:val="1"/>
        </w:numPr>
        <w:pBdr/>
        <w:spacing w:after="240" w:line="276" w:lineRule="auto"/>
        <w:ind w:right="-1" w:firstLine="0" w:left="0"/>
        <w:jc w:val="both"/>
        <w:rPr/>
      </w:pPr>
      <w:r>
        <w:t xml:space="preserve">Если Стороны не придут к согласию </w:t>
      </w:r>
      <w:r>
        <w:t xml:space="preserve">по спорным вопросам в течение указанного срока рассмотрения и ответа на претензию, споры, возникающие из настоящего Договора или в связи с ним, подлежат урегулированию в соответствии с законодательством Российской Федерации в арбитражном суде города Москвы</w:t>
      </w:r>
      <w:r>
        <w:t xml:space="preserve">.</w:t>
      </w:r>
      <w:r/>
    </w:p>
    <w:p>
      <w:pPr>
        <w:pStyle w:val="1132"/>
        <w:pBdr/>
        <w:spacing/>
        <w:ind/>
        <w:rPr/>
      </w:pPr>
      <w:r>
        <w:t xml:space="preserve">КОНФИДЕНЦИАЛЬНОСТЬ</w:t>
      </w:r>
      <w:r/>
    </w:p>
    <w:p>
      <w:pPr>
        <w:pStyle w:val="1004"/>
        <w:keepLines w:val="false"/>
        <w:widowControl w:val="false"/>
        <w:numPr>
          <w:ilvl w:val="1"/>
          <w:numId w:val="1"/>
        </w:numPr>
        <w:pBdr/>
        <w:spacing w:after="240"/>
        <w:ind w:firstLine="0" w:left="0"/>
        <w:contextualSpacing w:val="false"/>
        <w:jc w:val="both"/>
        <w:rPr/>
      </w:pPr>
      <w:r/>
      <w:bookmarkStart w:id="6" w:name="_Ref526363740"/>
      <w:r>
        <w:t xml:space="preserve">За исключением случаев, явно указанных в Договоре или применимом законодательстве, каждая Сторона обязуется:</w:t>
      </w:r>
      <w:bookmarkEnd w:id="6"/>
      <w:r/>
      <w:r/>
    </w:p>
    <w:p>
      <w:pPr>
        <w:pStyle w:val="1004"/>
        <w:keepLines w:val="false"/>
        <w:widowControl w:val="false"/>
        <w:numPr>
          <w:ilvl w:val="2"/>
          <w:numId w:val="1"/>
        </w:numPr>
        <w:pBdr/>
        <w:spacing w:after="240"/>
        <w:ind w:firstLine="0" w:left="567"/>
        <w:contextualSpacing w:val="false"/>
        <w:jc w:val="both"/>
        <w:rPr/>
      </w:pPr>
      <w:r>
        <w:t xml:space="preserve">не раскрывать и</w:t>
      </w:r>
      <w:r>
        <w:t xml:space="preserve">/или не передавать каким-либо третьим лицам, за исключением своих работников и подрядчиков, принявших на себя обязательства конфиденциальности не менее строгие, чем предусмотренные настоящим разделом 11 Договора, Конфиденциальную информацию другой Стороны;</w:t>
      </w:r>
      <w:r/>
    </w:p>
    <w:p>
      <w:pPr>
        <w:pStyle w:val="1004"/>
        <w:keepLines w:val="false"/>
        <w:widowControl w:val="false"/>
        <w:numPr>
          <w:ilvl w:val="2"/>
          <w:numId w:val="1"/>
        </w:numPr>
        <w:pBdr/>
        <w:spacing w:after="240"/>
        <w:ind w:firstLine="0" w:left="567"/>
        <w:contextualSpacing w:val="false"/>
        <w:jc w:val="both"/>
        <w:rPr/>
      </w:pPr>
      <w:r>
        <w:t xml:space="preserve">не использовать Конфиденциальную информацию другой Стороны в целях, не соответствующих целям заключения и исполнения Договора;</w:t>
      </w:r>
      <w:r/>
    </w:p>
    <w:p>
      <w:pPr>
        <w:pStyle w:val="1004"/>
        <w:keepLines w:val="false"/>
        <w:widowControl w:val="false"/>
        <w:numPr>
          <w:ilvl w:val="2"/>
          <w:numId w:val="1"/>
        </w:numPr>
        <w:pBdr/>
        <w:spacing w:after="240"/>
        <w:ind w:firstLine="0" w:left="567"/>
        <w:contextualSpacing w:val="false"/>
        <w:jc w:val="both"/>
        <w:rPr/>
      </w:pPr>
      <w:r>
        <w:t xml:space="preserve">соблюдать такие же строгие меры предосторожности для охраны Конфиденциальной информации другой Стороны, какие разумно соблюдал бы в отношении своей собственной Конфиденциальной информации.</w:t>
      </w:r>
      <w:r/>
    </w:p>
    <w:p>
      <w:pPr>
        <w:pStyle w:val="1004"/>
        <w:keepLines w:val="false"/>
        <w:widowControl w:val="false"/>
        <w:numPr>
          <w:ilvl w:val="1"/>
          <w:numId w:val="1"/>
        </w:numPr>
        <w:pBdr/>
        <w:spacing w:after="240"/>
        <w:ind w:firstLine="0" w:left="0"/>
        <w:contextualSpacing w:val="false"/>
        <w:jc w:val="both"/>
        <w:rPr/>
      </w:pPr>
      <w:r>
        <w:t xml:space="preserve">Обязательства, предусмотренные пунктом 11.1 Договора, не распространяются на любую информацию, в отношении которой Сторона сможет доказать, что:</w:t>
      </w:r>
      <w:r/>
    </w:p>
    <w:p>
      <w:pPr>
        <w:pStyle w:val="1004"/>
        <w:keepLines w:val="false"/>
        <w:widowControl w:val="false"/>
        <w:numPr>
          <w:ilvl w:val="2"/>
          <w:numId w:val="1"/>
        </w:numPr>
        <w:pBdr/>
        <w:spacing w:after="240"/>
        <w:ind w:firstLine="0" w:left="567"/>
        <w:contextualSpacing w:val="false"/>
        <w:jc w:val="both"/>
        <w:rPr/>
      </w:pPr>
      <w:r>
        <w:t xml:space="preserve">она является или впоследствии стала общедоступной без нарушения такой Стороной своих обязательств по Договору;</w:t>
      </w:r>
      <w:r/>
    </w:p>
    <w:p>
      <w:pPr>
        <w:pStyle w:val="1004"/>
        <w:keepLines w:val="false"/>
        <w:widowControl w:val="false"/>
        <w:numPr>
          <w:ilvl w:val="2"/>
          <w:numId w:val="1"/>
        </w:numPr>
        <w:pBdr/>
        <w:spacing w:after="240"/>
        <w:ind w:firstLine="0" w:left="567"/>
        <w:contextualSpacing w:val="false"/>
        <w:jc w:val="both"/>
        <w:rPr/>
      </w:pPr>
      <w:r>
        <w:t xml:space="preserve">она получена законным путем от третьего лица без нарушения такой Стороной своих обязательств по Договору;</w:t>
      </w:r>
      <w:r/>
    </w:p>
    <w:p>
      <w:pPr>
        <w:pStyle w:val="1004"/>
        <w:keepLines w:val="false"/>
        <w:widowControl w:val="false"/>
        <w:numPr>
          <w:ilvl w:val="2"/>
          <w:numId w:val="1"/>
        </w:numPr>
        <w:pBdr/>
        <w:spacing w:after="240"/>
        <w:ind w:firstLine="0" w:left="567"/>
        <w:contextualSpacing w:val="false"/>
        <w:jc w:val="both"/>
        <w:rPr/>
      </w:pPr>
      <w:r>
        <w:t xml:space="preserve">она была самостоятельно разработана и/или получена такой Стороной без использования Конфиденциальной Информации другой Стороны;</w:t>
      </w:r>
      <w:r/>
    </w:p>
    <w:p>
      <w:pPr>
        <w:pStyle w:val="1004"/>
        <w:keepLines w:val="false"/>
        <w:widowControl w:val="false"/>
        <w:numPr>
          <w:ilvl w:val="2"/>
          <w:numId w:val="1"/>
        </w:numPr>
        <w:pBdr/>
        <w:spacing w:after="240"/>
        <w:ind w:firstLine="0" w:left="567"/>
        <w:contextualSpacing w:val="false"/>
        <w:jc w:val="both"/>
        <w:rPr/>
      </w:pPr>
      <w:r>
        <w:t xml:space="preserve">она была известна такой Стороне до раскрытия Конфиденциальной информации другой Стороной;</w:t>
      </w:r>
      <w:r/>
    </w:p>
    <w:p>
      <w:pPr>
        <w:pStyle w:val="1004"/>
        <w:keepLines w:val="false"/>
        <w:widowControl w:val="false"/>
        <w:numPr>
          <w:ilvl w:val="2"/>
          <w:numId w:val="1"/>
        </w:numPr>
        <w:pBdr/>
        <w:spacing w:after="240"/>
        <w:ind w:firstLine="0" w:left="567"/>
        <w:contextualSpacing w:val="false"/>
        <w:jc w:val="both"/>
        <w:rPr/>
      </w:pPr>
      <w:r>
        <w:t xml:space="preserve">ее раскрытие необходимо для соблюдения требований применимого законодательства, судебных или иных государственных органов или иных обязательных к исполнению предписаний;</w:t>
      </w:r>
      <w:r/>
    </w:p>
    <w:p>
      <w:pPr>
        <w:pStyle w:val="1004"/>
        <w:keepLines w:val="false"/>
        <w:widowControl w:val="false"/>
        <w:numPr>
          <w:ilvl w:val="2"/>
          <w:numId w:val="1"/>
        </w:numPr>
        <w:pBdr/>
        <w:spacing w:after="240"/>
        <w:ind w:firstLine="0" w:left="567"/>
        <w:contextualSpacing w:val="false"/>
        <w:jc w:val="both"/>
        <w:rPr/>
      </w:pPr>
      <w:r>
        <w:t xml:space="preserve">другая Сторона дала своё письменное согласие на её раскрытие.</w:t>
      </w:r>
      <w:r/>
    </w:p>
    <w:p>
      <w:pPr>
        <w:pStyle w:val="1004"/>
        <w:keepLines w:val="false"/>
        <w:widowControl w:val="false"/>
        <w:numPr>
          <w:ilvl w:val="1"/>
          <w:numId w:val="1"/>
        </w:numPr>
        <w:pBdr/>
        <w:spacing w:after="240"/>
        <w:ind w:firstLine="0" w:left="0"/>
        <w:contextualSpacing w:val="false"/>
        <w:jc w:val="both"/>
        <w:rPr/>
      </w:pPr>
      <w:r>
        <w:t xml:space="preserve">При прекращении Договора по любому основанию, а также при получении соответствующего требования каждая Сторона обязуется, по выбору другой Стороны:</w:t>
      </w:r>
      <w:r/>
    </w:p>
    <w:p>
      <w:pPr>
        <w:pStyle w:val="1004"/>
        <w:keepLines w:val="false"/>
        <w:widowControl w:val="false"/>
        <w:numPr>
          <w:ilvl w:val="2"/>
          <w:numId w:val="1"/>
        </w:numPr>
        <w:pBdr/>
        <w:spacing w:after="240"/>
        <w:ind w:firstLine="0" w:left="567"/>
        <w:contextualSpacing w:val="false"/>
        <w:jc w:val="both"/>
        <w:rPr/>
      </w:pPr>
      <w:r>
        <w:t xml:space="preserve">вернуть другой Стороне любые документы, носители и иные материалы, содержащие Конфиденциальную информацию, за исключением копий документов, необходимых для соблюдения требований законодательства Российской Федерации; или </w:t>
      </w:r>
      <w:r/>
    </w:p>
    <w:p>
      <w:pPr>
        <w:pStyle w:val="1004"/>
        <w:keepLines w:val="false"/>
        <w:widowControl w:val="false"/>
        <w:numPr>
          <w:ilvl w:val="2"/>
          <w:numId w:val="1"/>
        </w:numPr>
        <w:pBdr/>
        <w:spacing w:after="240"/>
        <w:ind w:firstLine="0" w:left="567"/>
        <w:contextualSpacing w:val="false"/>
        <w:jc w:val="both"/>
        <w:rPr/>
      </w:pPr>
      <w:r>
        <w:t xml:space="preserve">уничтожить такие документы, носители и иные материалы, письменно подтвердив уничтожение другой Стороне.</w:t>
      </w:r>
      <w:r/>
    </w:p>
    <w:p>
      <w:pPr>
        <w:pStyle w:val="1004"/>
        <w:keepLines w:val="false"/>
        <w:widowControl w:val="false"/>
        <w:pBdr/>
        <w:spacing w:after="240"/>
        <w:ind w:firstLine="0" w:left="0"/>
        <w:contextualSpacing w:val="false"/>
        <w:jc w:val="both"/>
        <w:rPr/>
      </w:pPr>
      <w:r>
        <w:t xml:space="preserve">Пункт 11.3 не применяется к персональным данным, которые Лицензиар обрабатывает по поручению Лицензиата или обязан хранить в силу закона: их уничтожение регулируется условиями поручения и законом. На дату заключения Договора в соответствии со статьёй 10.1 Федерального закона от 27.07.2006 № 149-ФЗ «Об информации, информационных технологиях и о защите информации» и актами Правительства Российской Федерации, принятыми на основании этой статьи, Лицензиар как организатор распространения информации хранит электронные сообщения пользователей ПО в течение 6 (шести) месяцев с момента окончания их приёма, передачи, доставки и (или) обработки, а информацию о фактах таких действий и о пользователях — в течение 3 (трех) лет с момента окончания таких действий. Если эти требования изменятся или утратят силу, хранение, уничтожение и иные операции с такими данными осуществляются в соответствии с законодательством, действующим на момент их совершения.</w:t>
      </w:r>
    </w:p>
    <w:p>
      <w:pPr>
        <w:pStyle w:val="1082"/>
        <w:widowControl w:val="false"/>
        <w:numPr>
          <w:ilvl w:val="1"/>
          <w:numId w:val="1"/>
        </w:numPr>
        <w:pBdr/>
        <w:spacing w:after="240" w:line="276" w:lineRule="auto"/>
        <w:ind w:firstLine="0" w:left="0"/>
        <w:contextualSpacing w:val="false"/>
        <w:jc w:val="both"/>
        <w:rPr>
          <w:b/>
        </w:rPr>
      </w:pPr>
      <w:r>
        <w:t xml:space="preserve">Обязательства каждой Стороны, предусмотренные настоящим разделом 11 Договора, сохраняют силу в течение 3 (трех) лет после прекращения Договора по любому основанию.</w:t>
      </w:r>
      <w:r>
        <w:rPr>
          <w:b/>
        </w:rPr>
      </w:r>
      <w:r>
        <w:rPr>
          <w:b/>
        </w:rPr>
      </w:r>
    </w:p>
    <w:p>
      <w:pPr>
        <w:pStyle w:val="1004"/>
        <w:keepLines w:val="false"/>
        <w:widowControl w:val="false"/>
        <w:numPr>
          <w:ilvl w:val="1"/>
          <w:numId w:val="1"/>
        </w:numPr>
        <w:pBdr/>
        <w:spacing w:after="240"/>
        <w:ind w:firstLine="0" w:left="0"/>
        <w:contextualSpacing w:val="false"/>
        <w:jc w:val="both"/>
        <w:rPr/>
      </w:pPr>
      <w:r>
        <w:t xml:space="preserve">Опубликование Лицензиаром любых упоминаний о Лицензиате, сообщение третьим лицам или неопределенному кругу лиц о факте сотрудничества в связи с настоящим Договором не является нарушением конфиденциальности</w:t>
      </w:r>
      <w:r>
        <w:t xml:space="preserve">.</w:t>
      </w:r>
      <w:r/>
    </w:p>
    <w:p>
      <w:pPr>
        <w:pStyle w:val="1132"/>
        <w:pBdr/>
        <w:spacing/>
        <w:ind/>
        <w:rPr/>
      </w:pPr>
      <w:r>
        <w:t xml:space="preserve">ПЕРСОНАЛЬНЫЕ ДАННЫЕ</w:t>
      </w:r>
      <w:r/>
    </w:p>
    <w:p>
      <w:pPr>
        <w:widowControl w:val="false"/>
        <w:numPr>
          <w:ilvl w:val="1"/>
          <w:numId w:val="1"/>
        </w:numPr>
        <w:pBdr/>
        <w:spacing w:after="240" w:line="276" w:lineRule="auto"/>
        <w:ind w:firstLine="0" w:left="0"/>
        <w:jc w:val="both"/>
        <w:rPr/>
      </w:pPr>
      <w:r>
        <w:t xml:space="preserve">Лицензиат как оператор поручает Лицензиару обработку персональных данных в рабочих пространствах Лицензиата в ПО, а также в файлах и выгрузках, которые Лицензиар получает от Лицензиата или с помощью предоставленных Лицензиатом средств доступа для импорта в ПО (далее — данные для импорта).</w:t>
      </w:r>
    </w:p>
    <w:p>
      <w:pPr>
        <w:widowControl w:val="false"/>
        <w:numPr>
          <w:ilvl w:val="1"/>
          <w:numId w:val="1"/>
        </w:numPr>
        <w:pBdr/>
        <w:spacing w:after="240" w:line="276" w:lineRule="auto"/>
        <w:ind w:firstLine="0" w:left="0"/>
        <w:jc w:val="both"/>
        <w:rPr/>
      </w:pPr>
      <w:r>
        <w:t xml:space="preserve">Цели обработки: предоставление и администрирование ПО; исполнение действий Лицензиата и пользователей ПО в интерфейсе ПО и через API; хранение, передача, восстановление и экспорт данных; импорт данных в ПО по указанию Лицензиата; техническая поддержка по обращениям пользователей, поступившим Лицензиару после входа в учётную запись; резервное копирование и обеспечение сохранности и безопасности обрабатываемых данных.</w:t>
      </w:r>
    </w:p>
    <w:p>
      <w:pPr>
        <w:widowControl w:val="false"/>
        <w:numPr>
          <w:ilvl w:val="1"/>
          <w:numId w:val="1"/>
        </w:numPr>
        <w:pBdr/>
        <w:spacing w:after="240" w:line="276" w:lineRule="auto"/>
        <w:ind w:firstLine="0" w:left="0"/>
        <w:jc w:val="both"/>
        <w:rPr/>
      </w:pPr>
      <w:r>
        <w:t xml:space="preserve">Перечень персональных данных: фамилия, имя, отчество; изображение профиля (аватар); должность и место работы; контактные данные; идентификаторы учётных записей, рабочих пространств, сессий и устройств; IP-адрес; дата, время, вид и статус авторизации, запроса и действия; настройки и сведения о членстве в рабочих пространствах; сообщения, файлы, изображения, аудио, видео, ссылки и иные сведения, размещённые пользователями в ПО, переданные через API, содержащиеся в данных для импорта либо сообщённые технической поддержке после входа в учётную запись.</w:t>
      </w:r>
    </w:p>
    <w:p>
      <w:pPr>
        <w:widowControl w:val="false"/>
        <w:numPr>
          <w:ilvl w:val="1"/>
          <w:numId w:val="1"/>
        </w:numPr>
        <w:pBdr/>
        <w:spacing w:after="240" w:line="276" w:lineRule="auto"/>
        <w:ind w:firstLine="0" w:left="0"/>
        <w:jc w:val="both"/>
        <w:rPr/>
      </w:pPr>
      <w:r>
        <w:t xml:space="preserve">Действия с персональными данными: сбор, запись, систематизация, накопление, хранение, уточнение, извлечение, использование, передача, предоставление доступа, копирование, восстановление, преобразование формата, экспорт, блокирование, удаление и уничтожение с использованием средств автоматизации.</w:t>
      </w:r>
    </w:p>
    <w:p>
      <w:pPr>
        <w:widowControl w:val="false"/>
        <w:numPr>
          <w:ilvl w:val="1"/>
          <w:numId w:val="1"/>
        </w:numPr>
        <w:pBdr/>
        <w:spacing w:after="240" w:line="276" w:lineRule="auto"/>
        <w:ind w:firstLine="0" w:left="0"/>
        <w:jc w:val="both"/>
        <w:rPr/>
      </w:pPr>
      <w:r>
        <w:t xml:space="preserve">Лицензиар соблюдает конфиденциальность персональных данных, требования части 5 статьи 18 и статьи 18.1 Федерального закона от 27.07.2006 № 152-ФЗ «О персональных данных», обеспечивает безопасность персональных данных при их обработке и выполняет требования к их защите в соответствии со статьёй 19 этого закона, в том числе уведомляет Лицензиата о случаях, предусмотренных частью 3.1 статьи 21 этого закона.</w:t>
      </w:r>
    </w:p>
    <w:p>
      <w:pPr>
        <w:widowControl w:val="false"/>
        <w:numPr>
          <w:ilvl w:val="1"/>
          <w:numId w:val="1"/>
        </w:numPr>
        <w:pBdr/>
        <w:spacing w:after="240" w:line="276" w:lineRule="auto"/>
        <w:ind w:firstLine="0" w:left="0"/>
        <w:jc w:val="both"/>
        <w:rPr/>
      </w:pPr>
      <w:r>
        <w:t xml:space="preserve">По запросу Лицензиата в течение срока действия поручения, в том числе до начала обработки, Лицензиар предоставляет документы и сведения, подтверждающие принятие мер и соблюдение требований, предусмотренных настоящим разделом и законом.</w:t>
      </w:r>
    </w:p>
    <w:p>
      <w:pPr>
        <w:pStyle w:val="1132"/>
        <w:pBdr/>
        <w:spacing/>
        <w:ind/>
        <w:rPr/>
      </w:pPr>
      <w:r>
        <w:t xml:space="preserve">ЗАКЛЮЧИТЕЛЬНЫЕ ПОЛОЖЕНИЯ</w:t>
      </w:r>
      <w:r/>
    </w:p>
    <w:p>
      <w:pPr>
        <w:widowControl w:val="false"/>
        <w:numPr>
          <w:ilvl w:val="1"/>
          <w:numId w:val="1"/>
        </w:numPr>
        <w:pBdr/>
        <w:spacing w:after="240" w:line="276" w:lineRule="auto"/>
        <w:ind w:firstLine="0" w:left="0"/>
        <w:jc w:val="both"/>
        <w:rPr/>
      </w:pPr>
      <w:r>
        <w:t xml:space="preserve">Стороны не имеют никаких иных сопутствующих договоренностей. Содержание текста Договора полностью соответствует действительному волеизъявлению Сторон.</w:t>
      </w:r>
      <w:r/>
    </w:p>
    <w:p>
      <w:pPr>
        <w:widowControl w:val="false"/>
        <w:numPr>
          <w:ilvl w:val="1"/>
          <w:numId w:val="1"/>
        </w:numPr>
        <w:pBdr/>
        <w:spacing w:after="240" w:line="276" w:lineRule="auto"/>
        <w:ind w:firstLine="0" w:left="0"/>
        <w:jc w:val="both"/>
        <w:rPr/>
      </w:pPr>
      <w:r>
        <w:t xml:space="preserve">Любые изменения и дополнения к Договору действительны, при условии, что они совершены в электронной форме через систему электронного документооборота «Диадок» (СКБ «Контур»). </w:t>
      </w:r>
      <w:r/>
    </w:p>
    <w:p>
      <w:pPr>
        <w:widowControl w:val="false"/>
        <w:numPr>
          <w:ilvl w:val="1"/>
          <w:numId w:val="1"/>
        </w:numPr>
        <w:pBdr/>
        <w:spacing w:after="240" w:line="276" w:lineRule="auto"/>
        <w:ind w:firstLine="0" w:left="0"/>
        <w:jc w:val="both"/>
        <w:rPr/>
      </w:pPr>
      <w:r>
        <w:t xml:space="preserve">Все Акты, Приложения и Дополнения к Договору с момента подписания уполномоченными представителями Сторон являются неотъемлемой частью Договора.</w:t>
      </w:r>
      <w:r/>
    </w:p>
    <w:p>
      <w:pPr>
        <w:pStyle w:val="1004"/>
        <w:keepLines w:val="false"/>
        <w:widowControl w:val="false"/>
        <w:numPr>
          <w:ilvl w:val="1"/>
          <w:numId w:val="1"/>
        </w:numPr>
        <w:pBdr/>
        <w:spacing w:after="240"/>
        <w:ind w:firstLine="0" w:left="0"/>
        <w:contextualSpacing w:val="false"/>
        <w:jc w:val="both"/>
        <w:rPr/>
      </w:pPr>
      <w:r>
        <w:t xml:space="preserve">Скидка для образовательных организаций предоставляется Лицензиату только при наличии образовательной лицензии и </w:t>
      </w:r>
      <w:r>
        <w:t xml:space="preserve">при условии предоставления неисключительного права Лицензиару на использование и публикацию товарных знаков Лицензиата в маркетинговых материалах, сайтах и социальных Лицензиара, а также в средствах массовой информации на срок действия настоящего Договора.</w:t>
      </w:r>
      <w:r/>
    </w:p>
    <w:p>
      <w:pPr>
        <w:widowControl w:val="false"/>
        <w:numPr>
          <w:ilvl w:val="1"/>
          <w:numId w:val="1"/>
        </w:numPr>
        <w:pBdr/>
        <w:spacing w:after="240" w:line="276" w:lineRule="auto"/>
        <w:ind w:firstLine="0" w:left="0"/>
        <w:jc w:val="both"/>
        <w:rPr/>
      </w:pPr>
      <w:r>
        <w:t xml:space="preserve">В случае если одно или более положений Договора будут признаны недействительными, такая недействительность не оказывает влияния на действительность любого другого положения Договора и Договора в целом. </w:t>
      </w:r>
      <w:r/>
    </w:p>
    <w:p>
      <w:pPr>
        <w:numPr>
          <w:ilvl w:val="1"/>
          <w:numId w:val="1"/>
        </w:numPr>
        <w:pBdr/>
        <w:spacing w:after="240" w:line="276" w:lineRule="auto"/>
        <w:ind w:firstLine="0" w:left="0"/>
        <w:jc w:val="both"/>
        <w:rPr/>
      </w:pPr>
      <w:r>
        <w:t xml:space="preserve">Стороны признают юридическую силу электронной переписки, электронных сообщений, копии текста, содержащегося в электронных документах (файлах), направляемых Сторонами для</w:t>
      </w:r>
      <w:r>
        <w:t xml:space="preserve"> целей заключения Договора, при условии, что для целей отправки вышеуказанных сообщений и документов используются Авторизованные адреса Сторон. Информация и материалы, необходимые для исполнения Сторонами обязательств, принятых по Договору, направляются Ст</w:t>
      </w:r>
      <w:r>
        <w:t xml:space="preserve">оронами в электронном виде с использованием Авторизованных адресов. Стороны признают и соглашаются с тем, что юридически значимые сообщения, исходящие с Авторизованных адресов, являются исходящими от надлежащим образом уполномоченных представителей Сторон.</w:t>
      </w:r>
      <w:r/>
    </w:p>
    <w:p>
      <w:pPr>
        <w:numPr>
          <w:ilvl w:val="1"/>
          <w:numId w:val="1"/>
        </w:numPr>
        <w:pBdr/>
        <w:spacing w:after="240" w:line="276" w:lineRule="auto"/>
        <w:ind w:firstLine="0" w:left="0"/>
        <w:jc w:val="both"/>
        <w:rPr/>
      </w:pPr>
      <w:r>
        <w:t xml:space="preserve">Обмен документами, в том числе сообщениями и корреспонденцией осуществляется через систему электронного обмена данными «Диадок» (СКБ «Контур»).</w:t>
      </w:r>
      <w:r/>
    </w:p>
    <w:p>
      <w:pPr>
        <w:numPr>
          <w:ilvl w:val="1"/>
          <w:numId w:val="1"/>
        </w:numPr>
        <w:pBdr/>
        <w:spacing w:after="240" w:line="276" w:lineRule="auto"/>
        <w:ind w:firstLine="0" w:left="0"/>
        <w:jc w:val="both"/>
        <w:rPr/>
      </w:pPr>
      <w:r>
        <w:t xml:space="preserve">Датой получения соответствующего сообщения считается дата автоматического электронного подтверждения доставки электронного документа.</w:t>
      </w:r>
      <w:r/>
    </w:p>
    <w:p>
      <w:pPr>
        <w:numPr>
          <w:ilvl w:val="1"/>
          <w:numId w:val="1"/>
        </w:numPr>
        <w:pBdr/>
        <w:spacing w:after="240" w:line="276" w:lineRule="auto"/>
        <w:ind w:firstLine="0" w:left="0"/>
        <w:jc w:val="both"/>
        <w:rPr/>
      </w:pPr>
      <w:r>
        <w:t xml:space="preserve">Стороны подтверждают, что обмен документами, в том числе Актами, письмами, уведомлениями, извещениями и иной корреспонденцией будут иметь доказательственное значение и полную юридическую силу, в том числе при разрешении споров между Сторонами в суде.</w:t>
      </w:r>
      <w:r/>
    </w:p>
    <w:p>
      <w:pPr>
        <w:numPr>
          <w:ilvl w:val="1"/>
          <w:numId w:val="1"/>
        </w:numPr>
        <w:pBdr/>
        <w:spacing w:after="240" w:line="276" w:lineRule="auto"/>
        <w:ind w:firstLine="0" w:left="0"/>
        <w:jc w:val="both"/>
        <w:rPr/>
      </w:pPr>
      <w:r>
        <w:t xml:space="preserve">Каждая Сторона обязуется заблаговременно уведомлять другую Сторону в письменной форме об изменении Авторизованных адресов для получения юридически значимых сообщений, а также иных реквизитов такой Стороны, указанных в До</w:t>
      </w:r>
      <w:r>
        <w:t xml:space="preserve">говоре, путем направления сообщения на Авторизованный адрес противоположной Стороны. Сторона, не уведомившая другую Сторону о таких изменениях заблаговременно, несет риск неблагоприятных последствий, которые могут наступить в связи с таким не уведомлением.</w:t>
      </w:r>
      <w:r/>
    </w:p>
    <w:p>
      <w:pPr>
        <w:numPr>
          <w:ilvl w:val="1"/>
          <w:numId w:val="1"/>
        </w:numPr>
        <w:pBdr/>
        <w:spacing w:after="240" w:line="276" w:lineRule="auto"/>
        <w:ind w:firstLine="0" w:left="0"/>
        <w:jc w:val="both"/>
        <w:rPr/>
      </w:pPr>
      <w:r>
        <w:t xml:space="preserve">Права и обязанности Сторон по Договору могут быть полностью или в части переданы третьим лицам только с предварительного письменного согласия другой Стороны.</w:t>
      </w:r>
      <w:r/>
    </w:p>
    <w:p>
      <w:pPr>
        <w:numPr>
          <w:ilvl w:val="1"/>
          <w:numId w:val="1"/>
        </w:numPr>
        <w:pBdr/>
        <w:spacing w:after="240" w:line="276" w:lineRule="auto"/>
        <w:ind w:firstLine="0" w:left="0"/>
        <w:jc w:val="both"/>
        <w:rPr>
          <w:sz w:val="13"/>
        </w:rPr>
      </w:pPr>
      <w:r/>
      <w:bookmarkStart w:id="7" w:name="OLE_LINK12"/>
      <w:r/>
      <w:bookmarkStart w:id="8" w:name="OLE_LINK13"/>
      <w:r>
        <w:t xml:space="preserve">Условия и требования оферты</w:t>
      </w:r>
      <w:r>
        <w:t xml:space="preserve"> распространяются также на данный Договор. Если какой-либо пункт Договора противоречит одному или нескольким пунктам оферты, пункт Договора будет иметь приоритет. Оферта доступна по адресу: </w:t>
      </w:r>
      <w:r>
        <w:rPr>
          <w:u w:val="single"/>
        </w:rPr>
        <w:fldChar w:fldCharType="begin"/>
        <w:instrText xml:space="preserve">HYPERLINK "https://www.pachca.com/legal"</w:instrText>
        <w:fldChar w:fldCharType="separate"/>
        <w:t xml:space="preserve">https://www.pachca.com/legal</w:t>
        <w:fldChar w:fldCharType="end"/>
      </w:r>
      <w:r>
        <w:t xml:space="preserve"> . Время от времени, условия оферты меняются. По прошествии 14 календарных дней с даты публикации изменений оферты, Лицензиат обязуется выполнять новые условия, если они не будут противоречить условиям и требованиям настоящего Договора.</w:t>
      </w:r>
      <w:r>
        <w:rPr>
          <w:sz w:val="13"/>
        </w:rPr>
      </w:r>
      <w:r>
        <w:rPr>
          <w:sz w:val="13"/>
        </w:rPr>
      </w:r>
    </w:p>
    <w:p>
      <w:pPr>
        <w:numPr>
          <w:ilvl w:val="1"/>
          <w:numId w:val="1"/>
        </w:numPr>
        <w:pBdr/>
        <w:spacing w:after="240" w:line="276" w:lineRule="auto"/>
        <w:ind w:firstLine="0" w:left="0"/>
        <w:jc w:val="both"/>
        <w:rPr>
          <w:sz w:val="13"/>
        </w:rPr>
      </w:pPr>
      <w:r>
        <w:t xml:space="preserve">Тестирование функционала интеграции с AD (Active Directory). После заключения настоящего Договора Лицензиат имеет право в течение 21 календарного дня с даты подписания настоящего Договора (далее по тексту «Период т</w:t>
      </w:r>
      <w:r>
        <w:t xml:space="preserve">естирования интеграции») осуществить тестирование интеграции ПО с собственной системой AD. По прошествии Периода тестирования интеграции или ранее Лицензиат уведомляет Лицензиара о результатах тестирования интеграции ПО с AD. Если Лицензиат признаёт тест у</w:t>
      </w:r>
      <w:r>
        <w:t xml:space="preserve">спешным, то он обязан оплатить счёт за лицензии, полученный от Лицензиара в сроки и по условиям, указанных в настоящем Договоре. Если Лицензиат признаёт тест неуспешным, то с даты уведомления Лицензиатом Лицензиара настоящий Договор считается расторгнутым.</w:t>
      </w:r>
      <w:r>
        <w:rPr>
          <w:sz w:val="13"/>
        </w:rPr>
      </w:r>
      <w:r>
        <w:rPr>
          <w:sz w:val="13"/>
        </w:rPr>
      </w:r>
    </w:p>
    <w:p>
      <w:pPr>
        <w:numPr>
          <w:ilvl w:val="1"/>
          <w:numId w:val="1"/>
        </w:numPr>
        <w:pBdr/>
        <w:spacing w:after="240" w:line="276" w:lineRule="auto"/>
        <w:ind w:firstLine="0" w:left="0"/>
        <w:rPr>
          <w:sz w:val="13"/>
        </w:rPr>
      </w:pPr>
      <w:r>
        <w:t xml:space="preserve">Импорт данных Лицензиата. По согласованию с </w:t>
      </w:r>
      <w:r>
        <w:t xml:space="preserve">Лицензиаром Лицензиат имеет право узнать о технической возможности осуществления импорта данных в ПО. Лицензиар принимает для импорта только следующие файлы:</w:t>
        <w:br/>
        <w:t xml:space="preserve">Формат файла: «JSONL».</w:t>
        <w:br/>
        <w:t xml:space="preserve">Содержание файла: Построчная выгрузка из Slack по описанной ниже схеме:</w:t>
        <w:br/>
        <w:t xml:space="preserve">1. </w:t>
      </w:r>
      <w:r>
        <w:t xml:space="preserve">JSON – объекты каналов: 1. Тип объекта «channel» 2. Название канала.</w:t>
        <w:br/>
        <w:t xml:space="preserve">2. JSON – объекты пользователя: 1. Тип объекта «user» 2. Никнейм 3. E-mail 4. Имя 5. Фамилия 6. Роль в системе.</w:t>
        <w:br/>
        <w:t xml:space="preserve">3. JSON – объекты сообщений в канале: 1. Тип объекта «post» 2. Название кан</w:t>
      </w:r>
      <w:r>
        <w:t xml:space="preserve">ала. 3. Никнейм автора. 4. Текст сообщения в формате Markdown 5. Массив файлов-вложений 6. Массив ответов на сообщение в поле «replies» с объектами типа «post».</w:t>
        <w:br/>
        <w:t xml:space="preserve">4. JSON – объекты сообщений в личных чатах: 1. Тип объекта «direct post» 2. Массив никнеймов по</w:t>
      </w:r>
      <w:r>
        <w:t xml:space="preserve">льзователей в поле «channel_members» 3. Никнейм автора 4. Текст сообщения в формате Markdown 5. Массив файлов-вложений.</w:t>
        <w:br/>
        <w:br/>
        <w:t xml:space="preserve">Максимальная величина текстового архива для импорта – 500 Мб при оценке в распакованном виде.</w:t>
        <w:br/>
        <w:br/>
        <w:t xml:space="preserve">После получения файла для импорта от Лиц</w:t>
      </w:r>
      <w:r>
        <w:t xml:space="preserve">ензиата, Лицензиар оценивает техническую возможность импорта, а также сроки выполнения импорта. После завершения рассмотрения файла для импорта Лицензиар уведомляет Лицензиата о результатах рассмотрения. Срок рассмотрения файла для импорта зависит от его о</w:t>
      </w:r>
      <w:r>
        <w:t xml:space="preserve">бъёма и не регламентируется.</w:t>
        <w:br/>
        <w:br/>
        <w:t xml:space="preserve">Лицензиар выполняет импорт, если это возможно, только после заключения настоящего договора и получения оплаты за лицензии ПО за не менее чем 12-месячный период, причём указанный период отсчитывается от даты выставления счёта. </w:t>
      </w:r>
      <w:bookmarkEnd w:id="7"/>
      <w:r/>
      <w:bookmarkEnd w:id="8"/>
      <w:r>
        <w:rPr>
          <w:sz w:val="13"/>
        </w:rPr>
      </w:r>
      <w:r>
        <w:rPr>
          <w:sz w:val="13"/>
        </w:rPr>
      </w:r>
    </w:p>
    <w:p>
      <w:pPr>
        <w:numPr>
          <w:ilvl w:val="1"/>
          <w:numId w:val="1"/>
        </w:numPr>
        <w:pBdr/>
        <w:spacing w:after="240" w:line="276" w:lineRule="auto"/>
        <w:ind w:firstLine="0" w:left="0"/>
        <w:rPr/>
      </w:pPr>
      <w:r>
        <w:t xml:space="preserve"> Покупателю лицензий с типом "Корпорация" предоставляются контакты персонального менеджера для получения консультаций по работе программы для ЭВМ "Пачка". Указанные консультации:</w:t>
      </w:r>
      <w:r/>
    </w:p>
    <w:p>
      <w:pPr>
        <w:numPr>
          <w:ilvl w:val="2"/>
          <w:numId w:val="1"/>
        </w:numPr>
        <w:pBdr/>
        <w:spacing w:after="240" w:line="276" w:lineRule="auto"/>
        <w:ind w:firstLine="0" w:left="567"/>
        <w:rPr/>
      </w:pPr>
      <w:r>
        <w:t xml:space="preserve">носят информационный характер; </w:t>
      </w:r>
      <w:r/>
    </w:p>
    <w:p>
      <w:pPr>
        <w:numPr>
          <w:ilvl w:val="2"/>
          <w:numId w:val="1"/>
        </w:numPr>
        <w:pBdr/>
        <w:spacing w:after="240" w:line="276" w:lineRule="auto"/>
        <w:ind w:firstLine="0" w:left="567"/>
        <w:rPr/>
      </w:pPr>
      <w:r>
        <w:t xml:space="preserve">не заменяют техническую поддержку конечных пользователей Лицензиата;</w:t>
      </w:r>
      <w:r/>
    </w:p>
    <w:p>
      <w:pPr>
        <w:numPr>
          <w:ilvl w:val="2"/>
          <w:numId w:val="1"/>
        </w:numPr>
        <w:pBdr/>
        <w:spacing w:after="240" w:line="276" w:lineRule="auto"/>
        <w:ind w:firstLine="0" w:left="567"/>
        <w:rPr/>
      </w:pPr>
      <w:r>
        <w:t xml:space="preserve">не регулируются SLA (приложение №2);</w:t>
      </w:r>
      <w:r/>
    </w:p>
    <w:p>
      <w:pPr>
        <w:numPr>
          <w:ilvl w:val="2"/>
          <w:numId w:val="1"/>
        </w:numPr>
        <w:pBdr/>
        <w:spacing w:after="240" w:line="276" w:lineRule="auto"/>
        <w:ind w:firstLine="0" w:left="567"/>
        <w:rPr/>
      </w:pPr>
      <w:r>
        <w:t xml:space="preserve">не подлежат формализации;</w:t>
      </w:r>
      <w:r/>
    </w:p>
    <w:p>
      <w:pPr>
        <w:numPr>
          <w:ilvl w:val="2"/>
          <w:numId w:val="1"/>
        </w:numPr>
        <w:pBdr/>
        <w:spacing w:after="240" w:line="276" w:lineRule="auto"/>
        <w:ind w:firstLine="0" w:left="567"/>
        <w:rPr/>
      </w:pPr>
      <w:r>
        <w:t xml:space="preserve">предоставляются исключительно по инициативе Лицензиара.</w:t>
      </w:r>
      <w:r/>
    </w:p>
    <w:p>
      <w:pPr>
        <w:numPr>
          <w:ilvl w:val="1"/>
          <w:numId w:val="1"/>
        </w:numPr>
        <w:pBdr/>
        <w:spacing w:after="240" w:line="276" w:lineRule="auto"/>
        <w:ind w:firstLine="0" w:left="0"/>
        <w:jc w:val="both"/>
        <w:rPr/>
      </w:pPr>
      <w:r>
        <w:t xml:space="preserve">В случае противоречия положения Договора положениям Приложений или Дополнительных соглашений к Договору, преимущественную силу имеют положения Приложений или Дополнительных соглашений соответственно.</w:t>
      </w:r>
      <w:r/>
    </w:p>
    <w:p>
      <w:pPr>
        <w:numPr>
          <w:ilvl w:val="1"/>
          <w:numId w:val="1"/>
        </w:numPr>
        <w:pBdr/>
        <w:spacing w:after="240" w:line="276" w:lineRule="auto"/>
        <w:ind w:firstLine="0" w:left="0"/>
        <w:jc w:val="both"/>
        <w:rPr/>
      </w:pPr>
      <w:r>
        <w:t xml:space="preserve">Настоящий Договор составлен в двух экземплярах</w:t>
      </w:r>
      <w:r>
        <w:t xml:space="preserve">, каждый из которых имеет одинаковую юридическую силу.</w:t>
      </w:r>
      <w:r/>
    </w:p>
    <w:p>
      <w:pPr>
        <w:numPr>
          <w:ilvl w:val="1"/>
          <w:numId w:val="1"/>
        </w:numPr>
        <w:pBdr/>
        <w:spacing w:after="240" w:line="276" w:lineRule="auto"/>
        <w:ind w:firstLine="0" w:left="0"/>
        <w:jc w:val="both"/>
        <w:rPr/>
      </w:pPr>
      <w:r>
        <w:t xml:space="preserve">Приложения к настоящему Договору:</w:t>
      </w:r>
      <w:r/>
    </w:p>
    <w:p>
      <w:pPr>
        <w:numPr>
          <w:ilvl w:val="0"/>
          <w:numId w:val="0"/>
        </w:numPr>
        <w:pBdr/>
        <w:spacing w:after="0" w:afterAutospacing="0" w:before="0" w:beforeAutospacing="0" w:line="240" w:lineRule="auto"/>
        <w:ind/>
        <w:rPr>
          <w:b/>
        </w:rPr>
      </w:pPr>
      <w:r>
        <w:t xml:space="preserve">Приложение № 1 - Спецификация ПО;</w:t>
      </w:r>
      <w:r>
        <w:rPr>
          <w:b/>
        </w:rPr>
      </w:r>
      <w:r>
        <w:rPr>
          <w:b/>
        </w:rPr>
      </w:r>
    </w:p>
    <w:p>
      <w:pPr>
        <w:numPr>
          <w:ilvl w:val="0"/>
          <w:numId w:val="0"/>
        </w:numPr>
        <w:pBdr/>
        <w:spacing w:after="0" w:afterAutospacing="0" w:before="0" w:beforeAutospacing="0" w:line="240" w:lineRule="auto"/>
        <w:ind/>
        <w:rPr/>
      </w:pPr>
      <w:r>
        <w:t xml:space="preserve">Приложение № 2 – Соглашение об уровне сервиса (Service Level Agreement) для ПО.</w:t>
      </w:r>
      <w:r/>
    </w:p>
    <w:p>
      <w:pPr>
        <w:numPr>
          <w:ilvl w:val="0"/>
          <w:numId w:val="0"/>
        </w:numPr>
        <w:pBdr/>
        <w:spacing/>
        <w:ind/>
        <w:rPr/>
      </w:pPr>
      <w:r/>
      <w:r/>
    </w:p>
    <w:p>
      <w:pPr>
        <w:numPr>
          <w:ilvl w:val="0"/>
          <w:numId w:val="0"/>
        </w:numPr>
        <w:pBdr/>
        <w:spacing/>
        <w:ind/>
        <w:rPr>
          <w:b/>
        </w:rPr>
      </w:pPr>
      <w:r>
        <w:rPr>
          <w:b/>
        </w:rPr>
      </w:r>
      <w:r>
        <w:rPr>
          <w:b/>
        </w:rPr>
      </w:r>
      <w:r>
        <w:rPr>
          <w:b/>
        </w:rPr>
      </w:r>
    </w:p>
    <w:p>
      <w:pPr>
        <w:pStyle w:val="1132"/>
        <w:pBdr/>
        <w:spacing/>
        <w:ind/>
        <w:rPr/>
      </w:pPr>
      <w:r>
        <w:t xml:space="preserve">АДРЕСА И РЕКВИЗИТЫ СТОРОН</w:t>
      </w:r>
      <w:r/>
    </w:p>
    <w:tbl>
      <w:tblPr>
        <w:tblW w:w="9639" w:type="dxa"/>
        <w:tblCellMar>
          <w:left w:w="85" w:type="dxa"/>
          <w:top w:w="57" w:type="dxa"/>
          <w:right w:w="85" w:type="dxa"/>
          <w:bottom w:w="57" w:type="dxa"/>
        </w:tblCellMar>
        <w:tblBorders/>
        <w:tblLayout w:type="fixed"/>
        <w:tblLook w:val="04A0" w:firstRow="1" w:lastRow="0" w:firstColumn="1" w:lastColumn="0" w:noHBand="0" w:noVBand="1"/>
      </w:tblPr>
      <w:tblGrid>
        <w:gridCol w:w="4962"/>
        <w:gridCol w:w="4677"/>
      </w:tblGrid>
      <w:tr>
        <w:trPr/>
        <w:tc>
          <w:tcPr>
            <w:tcBorders/>
            <w:tcW w:w="4962" w:type="dxa"/>
            <w:textDirection w:val="lrTb"/>
            <w:noWrap w:val="false"/>
          </w:tcPr>
          <w:p>
            <w:pPr>
              <w:widowControl w:val="false"/>
              <w:numPr>
                <w:ilvl w:val="0"/>
                <w:numId w:val="0"/>
              </w:numPr>
              <w:pBdr/>
              <w:spacing w:after="40" w:line="276" w:lineRule="auto"/>
              <w:ind/>
              <w:rPr/>
            </w:pPr>
            <w:r>
              <w:rPr>
                <w:b/>
              </w:rPr>
              <w:t xml:space="preserve">Лицензиар:</w:t>
            </w:r>
            <w:r/>
          </w:p>
        </w:tc>
        <w:tc>
          <w:tcPr>
            <w:tcBorders/>
            <w:tcW w:w="4677" w:type="dxa"/>
            <w:textDirection w:val="lrTb"/>
            <w:noWrap w:val="false"/>
          </w:tcPr>
          <w:p>
            <w:pPr>
              <w:widowControl w:val="false"/>
              <w:numPr>
                <w:ilvl w:val="0"/>
                <w:numId w:val="0"/>
              </w:numPr>
              <w:pBdr/>
              <w:spacing w:after="40" w:line="276" w:lineRule="auto"/>
              <w:ind/>
              <w:rPr/>
            </w:pPr>
            <w:r>
              <w:rPr>
                <w:b/>
              </w:rPr>
              <w:t xml:space="preserve">Лицензиат:</w:t>
            </w:r>
            <w:r/>
          </w:p>
        </w:tc>
      </w:tr>
      <w:tr>
        <w:trPr/>
        <w:tc>
          <w:tcPr>
            <w:tcBorders/>
            <w:tcW w:w="4962" w:type="dxa"/>
            <w:textDirection w:val="lrTb"/>
            <w:noWrap w:val="false"/>
          </w:tcPr>
          <w:p>
            <w:pPr>
              <w:widowControl w:val="false"/>
              <w:numPr>
                <w:ilvl w:val="0"/>
                <w:numId w:val="0"/>
              </w:numPr>
              <w:pBdr/>
              <w:spacing w:after="40" w:line="276" w:lineRule="auto"/>
              <w:ind/>
              <w:rPr/>
            </w:pPr>
            <w:r>
              <w:t xml:space="preserve">Общество с ограниченной ответственностью «Примавера»</w:t>
            </w:r>
            <w:r/>
          </w:p>
        </w:tc>
        <w:tc>
          <w:tcPr>
            <w:tcBorders/>
            <w:tcW w:w="4677" w:type="dxa"/>
            <w:textDirection w:val="lrTb"/>
            <w:noWrap w:val="false"/>
          </w:tcPr>
          <w:p>
            <w:pPr>
              <w:widowControl w:val="false"/>
              <w:numPr>
                <w:ilvl w:val="0"/>
                <w:numId w:val="0"/>
              </w:numPr>
              <w:pBdr/>
              <w:spacing w:after="40" w:line="276" w:lineRule="auto"/>
              <w:ind/>
              <w:rPr/>
            </w:pPr>
            <w:r>
              <w:t xml:space="preserve">{{ licensee_name_full }}</w:t>
            </w:r>
            <w:r/>
          </w:p>
        </w:tc>
      </w:tr>
      <w:tr>
        <w:trPr/>
        <w:tc>
          <w:tcPr>
            <w:tcBorders/>
            <w:tcW w:w="4962" w:type="dxa"/>
            <w:textDirection w:val="lrTb"/>
            <w:noWrap w:val="false"/>
          </w:tcPr>
          <w:p>
            <w:pPr>
              <w:widowControl w:val="false"/>
              <w:numPr>
                <w:ilvl w:val="0"/>
                <w:numId w:val="0"/>
              </w:numPr>
              <w:pBdr/>
              <w:spacing w:after="40" w:line="276" w:lineRule="auto"/>
              <w:ind/>
              <w:rPr/>
            </w:pPr>
            <w:r>
              <w:rPr>
                <w:b/>
              </w:rPr>
              <w:t xml:space="preserve">Место нахождения / регистрации: </w:t>
            </w:r>
            <w:r>
              <w:t xml:space="preserve">г.Санкт-Петербург, ул.Таврическая д.27 кв.55</w:t>
            </w:r>
            <w:r/>
          </w:p>
        </w:tc>
        <w:tc>
          <w:tcPr>
            <w:tcBorders/>
            <w:tcW w:w="4677" w:type="dxa"/>
            <w:textDirection w:val="lrTb"/>
            <w:noWrap w:val="false"/>
          </w:tcPr>
          <w:p>
            <w:pPr>
              <w:widowControl w:val="false"/>
              <w:numPr>
                <w:ilvl w:val="0"/>
                <w:numId w:val="0"/>
              </w:numPr>
              <w:pBdr/>
              <w:spacing w:after="40" w:line="276" w:lineRule="auto"/>
              <w:ind/>
              <w:rPr/>
            </w:pPr>
            <w:r>
              <w:rPr>
                <w:b/>
              </w:rPr>
              <w:t xml:space="preserve">Место нахождения: </w:t>
            </w:r>
            <w:r>
              <w:t xml:space="preserve">{{ licensee_address }}</w:t>
            </w:r>
            <w:r/>
          </w:p>
        </w:tc>
      </w:tr>
      <w:tr>
        <w:trPr/>
        <w:tc>
          <w:tcPr>
            <w:tcBorders/>
            <w:tcW w:w="4962" w:type="dxa"/>
            <w:textDirection w:val="lrTb"/>
            <w:noWrap w:val="false"/>
          </w:tcPr>
          <w:p>
            <w:pPr>
              <w:widowControl w:val="false"/>
              <w:numPr>
                <w:ilvl w:val="0"/>
                <w:numId w:val="0"/>
              </w:numPr>
              <w:pBdr/>
              <w:spacing w:after="40" w:line="276" w:lineRule="auto"/>
              <w:ind/>
              <w:rPr/>
            </w:pPr>
            <w:r>
              <w:rPr>
                <w:b/>
              </w:rPr>
              <w:t xml:space="preserve">Почтовый адрес: </w:t>
            </w:r>
            <w:r>
              <w:t xml:space="preserve">191015, Г.Санкт-Петербург, ул.Таврическая д.27 кв.55</w:t>
            </w:r>
            <w:r/>
          </w:p>
        </w:tc>
        <w:tc>
          <w:tcPr>
            <w:tcBorders/>
            <w:tcW w:w="4677" w:type="dxa"/>
            <w:textDirection w:val="lrTb"/>
            <w:noWrap w:val="false"/>
          </w:tcPr>
          <w:p>
            <w:pPr>
              <w:widowControl w:val="false"/>
              <w:numPr>
                <w:ilvl w:val="0"/>
                <w:numId w:val="0"/>
              </w:numPr>
              <w:pBdr/>
              <w:spacing w:after="40" w:line="276" w:lineRule="auto"/>
              <w:ind/>
              <w:rPr/>
            </w:pPr>
            <w:r>
              <w:rPr>
                <w:b/>
              </w:rPr>
              <w:t xml:space="preserve">Почтовый адрес: </w:t>
            </w:r>
            <w:r>
              <w:t xml:space="preserve">{{ licensee_postal_address }}</w:t>
            </w:r>
            <w:r/>
          </w:p>
        </w:tc>
      </w:tr>
      <w:tr>
        <w:trPr/>
        <w:tc>
          <w:tcPr>
            <w:tcBorders/>
            <w:tcW w:w="4962" w:type="dxa"/>
            <w:textDirection w:val="lrTb"/>
            <w:noWrap w:val="false"/>
          </w:tcPr>
          <w:p>
            <w:pPr>
              <w:widowControl w:val="false"/>
              <w:numPr>
                <w:ilvl w:val="0"/>
                <w:numId w:val="0"/>
              </w:numPr>
              <w:pBdr/>
              <w:spacing w:after="40" w:line="276" w:lineRule="auto"/>
              <w:ind/>
              <w:rPr/>
            </w:pPr>
            <w:r>
              <w:rPr>
                <w:b/>
              </w:rPr>
              <w:t xml:space="preserve">ИНН: </w:t>
            </w:r>
            <w:r>
              <w:t xml:space="preserve">7842383501</w:t>
            </w:r>
            <w:r/>
          </w:p>
        </w:tc>
        <w:tc>
          <w:tcPr>
            <w:tcBorders/>
            <w:tcW w:w="4677" w:type="dxa"/>
            <w:textDirection w:val="lrTb"/>
            <w:noWrap w:val="false"/>
          </w:tcPr>
          <w:p>
            <w:pPr>
              <w:widowControl w:val="false"/>
              <w:numPr>
                <w:ilvl w:val="0"/>
                <w:numId w:val="0"/>
              </w:numPr>
              <w:pBdr/>
              <w:spacing w:after="40" w:line="276" w:lineRule="auto"/>
              <w:ind/>
              <w:rPr/>
            </w:pPr>
            <w:r>
              <w:rPr>
                <w:b/>
              </w:rPr>
              <w:t xml:space="preserve">ИНН: </w:t>
            </w:r>
            <w:r>
              <w:t xml:space="preserve">{{ licensee_inn }}</w:t>
            </w:r>
            <w:r/>
          </w:p>
        </w:tc>
      </w:tr>
      <w:tr>
        <w:trPr/>
        <w:tc>
          <w:tcPr>
            <w:tcBorders/>
            <w:tcW w:w="4962" w:type="dxa"/>
            <w:textDirection w:val="lrTb"/>
            <w:noWrap w:val="false"/>
          </w:tcPr>
          <w:p>
            <w:pPr>
              <w:widowControl w:val="false"/>
              <w:numPr>
                <w:ilvl w:val="0"/>
                <w:numId w:val="0"/>
              </w:numPr>
              <w:pBdr/>
              <w:spacing w:after="40" w:line="276" w:lineRule="auto"/>
              <w:ind/>
              <w:rPr/>
            </w:pPr>
            <w:r>
              <w:rPr>
                <w:b/>
              </w:rPr>
              <w:t xml:space="preserve">ОГРН: </w:t>
            </w:r>
            <w:r>
              <w:t xml:space="preserve">1089847164384</w:t>
            </w:r>
            <w:r/>
          </w:p>
        </w:tc>
        <w:tc>
          <w:tcPr>
            <w:tcBorders/>
            <w:tcW w:w="4677" w:type="dxa"/>
            <w:textDirection w:val="lrTb"/>
            <w:noWrap w:val="false"/>
          </w:tcPr>
          <w:p>
            <w:pPr>
              <w:widowControl w:val="false"/>
              <w:numPr>
                <w:ilvl w:val="0"/>
                <w:numId w:val="0"/>
              </w:numPr>
              <w:pBdr/>
              <w:spacing w:after="40" w:line="276" w:lineRule="auto"/>
              <w:ind/>
              <w:rPr/>
            </w:pPr>
            <w:r>
              <w:rPr>
                <w:b/>
              </w:rPr>
              <w:t xml:space="preserve">ОГРН: </w:t>
            </w:r>
            <w:r>
              <w:t xml:space="preserve">{{ licensee_ogrn }}</w:t>
            </w:r>
            <w:r/>
          </w:p>
        </w:tc>
      </w:tr>
      <w:tr>
        <w:trPr/>
        <w:tc>
          <w:tcPr>
            <w:tcBorders/>
            <w:tcW w:w="4962" w:type="dxa"/>
            <w:textDirection w:val="lrTb"/>
            <w:noWrap w:val="false"/>
          </w:tcPr>
          <w:p>
            <w:pPr>
              <w:widowControl w:val="false"/>
              <w:numPr>
                <w:ilvl w:val="0"/>
                <w:numId w:val="0"/>
              </w:numPr>
              <w:pBdr/>
              <w:spacing w:after="40" w:line="276" w:lineRule="auto"/>
              <w:ind/>
              <w:rPr/>
            </w:pPr>
            <w:r>
              <w:rPr>
                <w:b/>
              </w:rPr>
              <w:t xml:space="preserve">КПП: </w:t>
            </w:r>
            <w:r>
              <w:t xml:space="preserve">784201001</w:t>
            </w:r>
            <w:r/>
          </w:p>
        </w:tc>
        <w:tc>
          <w:tcPr>
            <w:tcBorders/>
            <w:tcW w:w="4677" w:type="dxa"/>
            <w:textDirection w:val="lrTb"/>
            <w:noWrap w:val="false"/>
          </w:tcPr>
          <w:p>
            <w:pPr>
              <w:widowControl w:val="false"/>
              <w:numPr>
                <w:ilvl w:val="0"/>
                <w:numId w:val="0"/>
              </w:numPr>
              <w:pBdr/>
              <w:spacing w:after="40" w:line="276" w:lineRule="auto"/>
              <w:ind/>
              <w:rPr/>
            </w:pPr>
            <w:r>
              <w:rPr>
                <w:b/>
              </w:rPr>
              <w:t xml:space="preserve">КПП: </w:t>
            </w:r>
            <w:r>
              <w:t xml:space="preserve">{{ licensee_kpp }}</w:t>
            </w:r>
            <w:r/>
          </w:p>
        </w:tc>
      </w:tr>
      <w:tr>
        <w:trPr/>
        <w:tc>
          <w:tcPr>
            <w:tcBorders/>
            <w:tcW w:w="4962" w:type="dxa"/>
            <w:vMerge w:val="restart"/>
            <w:textDirection w:val="lrTb"/>
            <w:noWrap w:val="false"/>
          </w:tcPr>
          <w:p>
            <w:pPr>
              <w:widowControl w:val="false"/>
              <w:numPr>
                <w:ilvl w:val="0"/>
                <w:numId w:val="0"/>
              </w:numPr>
              <w:pBdr/>
              <w:spacing w:after="40" w:line="276" w:lineRule="auto"/>
              <w:ind/>
              <w:rPr/>
            </w:pPr>
            <w:r>
              <w:rPr>
                <w:b/>
              </w:rPr>
              <w:t xml:space="preserve">Банковские реквизиты:</w:t>
            </w:r>
            <w:r/>
          </w:p>
          <w:p>
            <w:pPr>
              <w:widowControl w:val="false"/>
              <w:numPr>
                <w:ilvl w:val="0"/>
                <w:numId w:val="0"/>
              </w:numPr>
              <w:pBdr/>
              <w:spacing w:after="40" w:line="276" w:lineRule="auto"/>
              <w:ind/>
              <w:rPr/>
            </w:pPr>
            <w:r>
              <w:rPr>
                <w:b/>
              </w:rPr>
            </w:r>
            <w:r/>
          </w:p>
          <w:p>
            <w:pPr>
              <w:widowControl w:val="false"/>
              <w:numPr>
                <w:ilvl w:val="0"/>
                <w:numId w:val="0"/>
              </w:numPr>
              <w:pBdr/>
              <w:spacing w:after="40" w:line="276" w:lineRule="auto"/>
              <w:ind/>
              <w:rPr>
                <w:b w:val="0"/>
                <w:bCs w:val="0"/>
              </w:rPr>
            </w:pPr>
            <w:r>
              <w:rPr>
                <w:b/>
              </w:rPr>
              <w:t xml:space="preserve">1) </w:t>
            </w:r>
            <w:r>
              <w:rPr>
                <w:b w:val="0"/>
                <w:bCs w:val="0"/>
              </w:rPr>
              <w:t xml:space="preserve">р/с: 40702810355000035405</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к/с: 30101810500000000653</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БИК: 044030653</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Банк: СЕВЕРО-ЗАПАДНЫЙ БАНК ПАО СБЕРБАНК</w:t>
            </w:r>
            <w:r>
              <w:rPr>
                <w:b w:val="0"/>
                <w:bCs w:val="0"/>
              </w:rPr>
            </w:r>
            <w:r>
              <w:rPr>
                <w:b w:val="0"/>
                <w:bCs w:val="0"/>
              </w:rPr>
            </w:r>
          </w:p>
          <w:p>
            <w:pPr>
              <w:widowControl w:val="false"/>
              <w:numPr>
                <w:ilvl w:val="0"/>
                <w:numId w:val="0"/>
              </w:numPr>
              <w:pBdr/>
              <w:spacing w:after="40" w:line="276" w:lineRule="auto"/>
              <w:ind/>
              <w:rPr/>
            </w:pPr>
            <w:r>
              <w:rPr>
                <w:b/>
              </w:rPr>
            </w:r>
            <w:r/>
          </w:p>
          <w:p>
            <w:pPr>
              <w:widowControl w:val="false"/>
              <w:numPr>
                <w:ilvl w:val="0"/>
                <w:numId w:val="0"/>
              </w:numPr>
              <w:pBdr/>
              <w:spacing w:after="40" w:line="276" w:lineRule="auto"/>
              <w:ind/>
              <w:rPr>
                <w:b w:val="0"/>
                <w:bCs w:val="0"/>
              </w:rPr>
            </w:pPr>
            <w:r>
              <w:rPr>
                <w:b/>
              </w:rPr>
              <w:t xml:space="preserve">2) </w:t>
            </w:r>
            <w:r>
              <w:rPr>
                <w:b w:val="0"/>
                <w:bCs w:val="0"/>
              </w:rPr>
              <w:t xml:space="preserve">р/с: 40702810303000002101</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к/с: 30101810100000000723</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БИК: 044030723</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Банк: Ф-Л «СЕВЕРНАЯ СТОЛИЦА» АО «РАЙФФАЙЗЕНБАНК»</w:t>
            </w:r>
            <w:r>
              <w:rPr>
                <w:b w:val="0"/>
                <w:bCs w:val="0"/>
              </w:rPr>
            </w:r>
            <w:r>
              <w:rPr>
                <w:b w:val="0"/>
                <w:bCs w:val="0"/>
              </w:rPr>
            </w:r>
          </w:p>
          <w:p>
            <w:pPr>
              <w:widowControl w:val="false"/>
              <w:numPr>
                <w:ilvl w:val="0"/>
                <w:numId w:val="0"/>
              </w:numPr>
              <w:pBdr/>
              <w:spacing w:after="40" w:line="276" w:lineRule="auto"/>
              <w:ind/>
              <w:rPr/>
            </w:pPr>
            <w:r>
              <w:rPr>
                <w:b/>
              </w:rPr>
            </w:r>
            <w:r/>
          </w:p>
          <w:p>
            <w:pPr>
              <w:widowControl w:val="false"/>
              <w:numPr>
                <w:ilvl w:val="0"/>
                <w:numId w:val="0"/>
              </w:numPr>
              <w:pBdr/>
              <w:spacing w:after="40" w:line="276" w:lineRule="auto"/>
              <w:ind/>
              <w:rPr>
                <w:b w:val="0"/>
                <w:bCs w:val="0"/>
              </w:rPr>
            </w:pPr>
            <w:r>
              <w:rPr>
                <w:b/>
              </w:rPr>
              <w:t xml:space="preserve">3) </w:t>
            </w:r>
            <w:r>
              <w:rPr>
                <w:b w:val="0"/>
                <w:bCs w:val="0"/>
              </w:rPr>
              <w:t xml:space="preserve">р/с: 40702810420000191158</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к/с: 30101810745374525104</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БИК: 044525104</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Банк: ООО «Банк Точка»</w:t>
            </w:r>
            <w:r>
              <w:rPr>
                <w:b w:val="0"/>
                <w:bCs w:val="0"/>
              </w:rPr>
            </w:r>
            <w:r>
              <w:rPr>
                <w:b w:val="0"/>
                <w:bCs w:val="0"/>
              </w:rPr>
            </w:r>
          </w:p>
        </w:tc>
        <w:tc>
          <w:tcPr>
            <w:tcBorders/>
            <w:tcW w:w="4677" w:type="dxa"/>
            <w:vMerge w:val="restart"/>
            <w:textDirection w:val="lrTb"/>
            <w:noWrap w:val="false"/>
          </w:tcPr>
          <w:p>
            <w:pPr>
              <w:widowControl w:val="false"/>
              <w:numPr>
                <w:ilvl w:val="0"/>
                <w:numId w:val="0"/>
              </w:numPr>
              <w:pBdr/>
              <w:spacing w:after="40" w:line="276" w:lineRule="auto"/>
              <w:ind/>
              <w:rPr/>
            </w:pPr>
            <w:r>
              <w:rPr>
                <w:b/>
              </w:rPr>
              <w:t xml:space="preserve">р/с: </w:t>
            </w:r>
            <w:r>
              <w:t xml:space="preserve">{{ licensee_rs }}</w:t>
            </w:r>
            <w:r/>
          </w:p>
          <w:p>
            <w:pPr>
              <w:widowControl w:val="false"/>
              <w:numPr>
                <w:ilvl w:val="0"/>
                <w:numId w:val="0"/>
              </w:numPr>
              <w:pBdr/>
              <w:spacing w:after="40" w:line="276" w:lineRule="auto"/>
              <w:ind/>
              <w:rPr/>
            </w:pPr>
            <w:r>
              <w:rPr>
                <w:b/>
              </w:rPr>
              <w:t xml:space="preserve">к/с: </w:t>
            </w:r>
            <w:r>
              <w:t xml:space="preserve">{{ licensee_ks }}</w:t>
            </w:r>
            <w:r/>
          </w:p>
          <w:p>
            <w:pPr>
              <w:widowControl w:val="false"/>
              <w:numPr>
                <w:ilvl w:val="0"/>
                <w:numId w:val="0"/>
              </w:numPr>
              <w:pBdr/>
              <w:spacing w:after="40" w:line="276" w:lineRule="auto"/>
              <w:ind/>
              <w:rPr/>
            </w:pPr>
            <w:r>
              <w:rPr>
                <w:b/>
              </w:rPr>
              <w:t xml:space="preserve">БИК: </w:t>
            </w:r>
            <w:r>
              <w:t xml:space="preserve">{{ licensee_bik }}</w:t>
            </w:r>
            <w:r/>
          </w:p>
          <w:p>
            <w:pPr>
              <w:widowControl w:val="false"/>
              <w:numPr>
                <w:ilvl w:val="0"/>
                <w:numId w:val="0"/>
              </w:numPr>
              <w:pBdr/>
              <w:spacing w:after="40" w:line="276" w:lineRule="auto"/>
              <w:ind/>
              <w:rPr/>
            </w:pPr>
            <w:r>
              <w:rPr>
                <w:b/>
              </w:rPr>
              <w:t xml:space="preserve">Банк: </w:t>
            </w:r>
            <w:r>
              <w:t xml:space="preserve">{{ licensee_bank }}</w:t>
            </w:r>
            <w:r/>
          </w:p>
        </w:tc>
      </w:tr>
      <w:tr>
        <w:trPr/>
        <w:tc>
          <w:tcPr>
            <w:tcBorders/>
            <w:tcW w:w="4962" w:type="dxa"/>
            <w:textDirection w:val="lrTb"/>
            <w:noWrap w:val="false"/>
          </w:tcPr>
          <w:p>
            <w:pPr>
              <w:widowControl w:val="false"/>
              <w:numPr>
                <w:ilvl w:val="0"/>
                <w:numId w:val="0"/>
              </w:numPr>
              <w:pBdr/>
              <w:spacing w:after="40" w:line="276" w:lineRule="auto"/>
              <w:ind/>
              <w:rPr/>
            </w:pPr>
            <w:r>
              <w:rPr>
                <w:b/>
              </w:rPr>
              <w:t xml:space="preserve">Авторизованные адреса: </w:t>
            </w:r>
            <w:r>
              <w:t xml:space="preserve">dp@pachca.com</w:t>
            </w:r>
            <w:r/>
          </w:p>
        </w:tc>
        <w:tc>
          <w:tcPr>
            <w:tcBorders/>
            <w:tcW w:w="4677" w:type="dxa"/>
            <w:textDirection w:val="lrTb"/>
            <w:noWrap w:val="false"/>
          </w:tcPr>
          <w:p>
            <w:pPr>
              <w:widowControl w:val="false"/>
              <w:numPr>
                <w:ilvl w:val="0"/>
                <w:numId w:val="0"/>
              </w:numPr>
              <w:pBdr/>
              <w:spacing w:after="40" w:line="276" w:lineRule="auto"/>
              <w:ind/>
              <w:rPr/>
            </w:pPr>
            <w:r>
              <w:rPr>
                <w:b/>
              </w:rPr>
              <w:t xml:space="preserve">Авторизованные адреса: </w:t>
            </w:r>
            <w:r>
              <w:t xml:space="preserve">{{ licensee_auth_email }}</w:t>
            </w:r>
            <w:r/>
          </w:p>
        </w:tc>
      </w:tr>
      <w:tr>
        <w:trPr/>
        <w:tc>
          <w:tcPr>
            <w:tcBorders/>
            <w:tcW w:w="4962" w:type="dxa"/>
            <w:textDirection w:val="lrTb"/>
            <w:noWrap w:val="false"/>
          </w:tcPr>
          <w:p>
            <w:pPr>
              <w:widowControl w:val="false"/>
              <w:numPr>
                <w:ilvl w:val="0"/>
                <w:numId w:val="0"/>
              </w:numPr>
              <w:pBdr/>
              <w:spacing w:after="40" w:line="276" w:lineRule="auto"/>
              <w:ind/>
              <w:rPr/>
            </w:pPr>
            <w:r>
              <w:rPr>
                <w:b/>
              </w:rPr>
              <w:t xml:space="preserve">Адрес электронной почты для направления уведомлений: </w:t>
            </w:r>
            <w:r>
              <w:t xml:space="preserve">dp@pachca.com</w:t>
            </w:r>
            <w:r/>
          </w:p>
        </w:tc>
        <w:tc>
          <w:tcPr>
            <w:tcBorders/>
            <w:tcW w:w="4677" w:type="dxa"/>
            <w:textDirection w:val="lrTb"/>
            <w:noWrap w:val="false"/>
          </w:tcPr>
          <w:p>
            <w:pPr>
              <w:widowControl w:val="false"/>
              <w:numPr>
                <w:ilvl w:val="0"/>
                <w:numId w:val="0"/>
              </w:numPr>
              <w:pBdr/>
              <w:spacing w:after="40" w:line="276" w:lineRule="auto"/>
              <w:ind/>
              <w:rPr/>
            </w:pPr>
            <w:r>
              <w:rPr>
                <w:b/>
              </w:rPr>
              <w:t xml:space="preserve">Адрес электронной почты для направления уведомлений: </w:t>
            </w:r>
            <w:r>
              <w:t xml:space="preserve">{{ licensee_notify_email }}</w:t>
            </w:r>
            <w:r/>
          </w:p>
        </w:tc>
      </w:tr>
    </w:tbl>
    <w:p>
      <w:pPr>
        <w:numPr>
          <w:ilvl w:val="0"/>
          <w:numId w:val="0"/>
        </w:numPr>
        <w:pBdr/>
        <w:spacing/>
        <w:ind/>
        <w:rPr/>
      </w:pPr>
      <w:r/>
      <w:r/>
    </w:p>
    <w:p>
      <w:pPr>
        <w:widowControl w:val="false"/>
        <w:numPr>
          <w:ilvl w:val="0"/>
          <w:numId w:val="0"/>
        </w:numPr>
        <w:pBdr/>
        <w:spacing w:after="0" w:afterAutospacing="0" w:before="0" w:beforeAutospacing="0" w:line="240" w:lineRule="auto"/>
        <w:ind w:right="-35"/>
        <w:jc w:val="right"/>
        <w:rPr/>
      </w:pPr>
      <w:r>
        <w:br w:type="page" w:clear="all"/>
      </w:r>
      <w:bookmarkStart w:id="11" w:name="OLE_LINK7"/>
      <w:r>
        <w:t xml:space="preserve">Приложение № 1</w:t>
      </w:r>
      <w:r/>
    </w:p>
    <w:p>
      <w:pPr>
        <w:pStyle w:val="1062"/>
        <w:widowControl w:val="false"/>
        <w:numPr>
          <w:ilvl w:val="0"/>
          <w:numId w:val="0"/>
        </w:numPr>
        <w:pBdr/>
        <w:spacing w:after="0" w:afterAutospacing="0" w:before="0" w:beforeAutospacing="0" w:line="240" w:lineRule="auto"/>
        <w:ind w:right="-35"/>
        <w:jc w:val="right"/>
        <w:rPr/>
      </w:pPr>
      <w:r>
        <w:t xml:space="preserve">к Договору № {{ contract_number }}</w:t>
      </w:r>
      <w:r/>
    </w:p>
    <w:p>
      <w:pPr>
        <w:pStyle w:val="1062"/>
        <w:widowControl w:val="false"/>
        <w:numPr>
          <w:ilvl w:val="0"/>
          <w:numId w:val="0"/>
        </w:numPr>
        <w:pBdr/>
        <w:spacing w:after="0" w:afterAutospacing="0" w:before="0" w:beforeAutospacing="0" w:line="240" w:lineRule="auto"/>
        <w:ind w:right="-35"/>
        <w:jc w:val="right"/>
        <w:rPr/>
      </w:pPr>
      <w:r>
        <w:t xml:space="preserve">от «{{ contract_date_day }}» {{ contract_date_month_year }} г.</w:t>
      </w:r>
      <w:r/>
    </w:p>
    <w:p>
      <w:pPr>
        <w:widowControl w:val="false"/>
        <w:numPr>
          <w:ilvl w:val="0"/>
          <w:numId w:val="0"/>
        </w:numPr>
        <w:pBdr/>
        <w:spacing w:after="60" w:line="23" w:lineRule="atLeast"/>
        <w:ind w:right="-35"/>
        <w:jc w:val="right"/>
        <w:rPr>
          <w:b/>
        </w:rPr>
      </w:pPr>
      <w:r>
        <w:rPr>
          <w:b/>
        </w:rPr>
      </w:r>
      <w:r>
        <w:rPr>
          <w:b/>
        </w:rPr>
      </w:r>
      <w:r>
        <w:rPr>
          <w:b/>
        </w:rPr>
      </w:r>
    </w:p>
    <w:p>
      <w:pPr>
        <w:widowControl w:val="false"/>
        <w:numPr>
          <w:ilvl w:val="0"/>
          <w:numId w:val="0"/>
        </w:numPr>
        <w:pBdr/>
        <w:spacing w:after="60" w:line="23" w:lineRule="atLeast"/>
        <w:ind w:right="-35"/>
        <w:jc w:val="right"/>
        <w:rPr>
          <w:b/>
        </w:rPr>
      </w:pPr>
      <w:r>
        <w:rPr>
          <w:b/>
        </w:rPr>
      </w:r>
      <w:r>
        <w:rPr>
          <w:b/>
        </w:rPr>
      </w:r>
      <w:r>
        <w:rPr>
          <w:b/>
        </w:rPr>
      </w:r>
    </w:p>
    <w:p>
      <w:pPr>
        <w:widowControl w:val="false"/>
        <w:numPr>
          <w:ilvl w:val="0"/>
          <w:numId w:val="0"/>
        </w:numPr>
        <w:pBdr/>
        <w:spacing w:after="60" w:line="23" w:lineRule="atLeast"/>
        <w:ind w:right="-35"/>
        <w:jc w:val="both"/>
        <w:rPr/>
      </w:pPr>
      <w:r/>
      <w:r/>
    </w:p>
    <w:p>
      <w:pPr>
        <w:widowControl w:val="false"/>
        <w:numPr>
          <w:ilvl w:val="0"/>
          <w:numId w:val="0"/>
        </w:numPr>
        <w:pBdr/>
        <w:spacing w:after="60" w:line="23" w:lineRule="atLeast"/>
        <w:ind w:right="-177"/>
        <w:rPr/>
      </w:pPr>
      <w:r/>
      <w:bookmarkEnd w:id="11"/>
      <w:r/>
      <w:r/>
    </w:p>
    <w:p>
      <w:pPr>
        <w:numPr>
          <w:ilvl w:val="0"/>
          <w:numId w:val="0"/>
        </w:numPr>
        <w:pBdr/>
        <w:spacing w:after="0" w:line="240" w:lineRule="auto"/>
        <w:ind/>
        <w:rPr/>
      </w:pPr>
      <w:r/>
      <w:r/>
    </w:p>
    <w:p>
      <w:pPr>
        <w:pStyle w:val="1132"/>
        <w:numPr>
          <w:ilvl w:val="0"/>
          <w:numId w:val="0"/>
        </w:numPr>
        <w:pBdr/>
        <w:spacing w:after="0" w:before="0" w:line="240" w:lineRule="auto"/>
        <w:ind/>
        <w:rPr/>
      </w:pPr>
      <w:r>
        <w:t xml:space="preserve">СПЕЦИФИКАЦИЯ ПО</w:t>
      </w:r>
      <w:r/>
    </w:p>
    <w:p>
      <w:pPr>
        <w:numPr>
          <w:ilvl w:val="0"/>
          <w:numId w:val="0"/>
        </w:numPr>
        <w:pBdr/>
        <w:spacing w:after="0" w:line="240" w:lineRule="auto"/>
        <w:ind/>
        <w:rPr/>
      </w:pPr>
      <w:r/>
      <w:r/>
    </w:p>
    <w:tbl>
      <w:tblPr>
        <w:tblStyle w:val="1147"/>
        <w:tblW w:w="0" w:type="auto"/>
        <w:tblBorders/>
        <w:tblLayout w:type="fixed"/>
        <w:tblLook w:val="04A0" w:firstRow="1" w:lastRow="0" w:firstColumn="1" w:lastColumn="0" w:noHBand="0" w:noVBand="1"/>
      </w:tblPr>
      <w:tblGrid>
        <w:gridCol w:w="720"/>
        <w:gridCol w:w="2424"/>
        <w:gridCol w:w="1387"/>
        <w:gridCol w:w="1276"/>
        <w:gridCol w:w="1985"/>
        <w:gridCol w:w="1943"/>
      </w:tblGrid>
      <w:tr>
        <w:trPr>
          <w:trHeight w:val="227"/>
        </w:trPr>
        <w:tc>
          <w:tcPr>
            <w:tcBorders/>
            <w:tcW w:w="720" w:type="dxa"/>
            <w:textDirection w:val="lrTb"/>
            <w:noWrap w:val="false"/>
          </w:tcPr>
          <w:p>
            <w:pPr>
              <w:widowControl w:val="false"/>
              <w:numPr>
                <w:ilvl w:val="0"/>
                <w:numId w:val="0"/>
              </w:numPr>
              <w:pBdr/>
              <w:tabs>
                <w:tab w:val="left" w:leader="none" w:pos="4820"/>
                <w:tab w:val="left" w:leader="none" w:pos="5812"/>
                <w:tab w:val="left" w:leader="none" w:pos="6804"/>
              </w:tabs>
              <w:spacing w:after="60" w:line="23" w:lineRule="atLeast"/>
              <w:ind/>
              <w:rPr>
                <w:color w:val="000000" w:themeColor="text1"/>
              </w:rPr>
            </w:pPr>
            <w:r>
              <w:rPr>
                <w:color w:val="000000" w:themeColor="text1"/>
              </w:rPr>
            </w:r>
            <w:bookmarkStart w:id="12" w:name="_Hlk118707269"/>
            <w:r>
              <w:rPr>
                <w:color w:val="000000" w:themeColor="text1"/>
              </w:rPr>
              <w:t xml:space="preserve">№ </w:t>
              <w:br/>
              <w:t xml:space="preserve">п/п</w:t>
            </w:r>
            <w:r>
              <w:rPr>
                <w:color w:val="000000" w:themeColor="text1"/>
              </w:rPr>
            </w:r>
            <w:r>
              <w:rPr>
                <w:color w:val="000000" w:themeColor="text1"/>
              </w:rPr>
            </w:r>
          </w:p>
        </w:tc>
        <w:tc>
          <w:tcPr>
            <w:tcBorders/>
            <w:tcW w:w="2424" w:type="dxa"/>
            <w:textDirection w:val="lrTb"/>
            <w:noWrap w:val="false"/>
          </w:tcPr>
          <w:p>
            <w:pPr>
              <w:widowControl w:val="false"/>
              <w:numPr>
                <w:ilvl w:val="0"/>
                <w:numId w:val="0"/>
              </w:numPr>
              <w:pBdr/>
              <w:tabs>
                <w:tab w:val="left" w:leader="none" w:pos="4820"/>
                <w:tab w:val="left" w:leader="none" w:pos="5812"/>
                <w:tab w:val="left" w:leader="none" w:pos="6804"/>
              </w:tabs>
              <w:spacing w:after="60" w:line="23" w:lineRule="atLeast"/>
              <w:ind/>
              <w:rPr>
                <w:color w:val="000000" w:themeColor="text1"/>
              </w:rPr>
            </w:pPr>
            <w:r>
              <w:rPr>
                <w:color w:val="000000" w:themeColor="text1"/>
              </w:rPr>
              <w:t xml:space="preserve">Наименование</w:t>
            </w:r>
            <w:r>
              <w:rPr>
                <w:color w:val="000000" w:themeColor="text1"/>
              </w:rPr>
            </w:r>
            <w:r>
              <w:rPr>
                <w:color w:val="000000" w:themeColor="text1"/>
              </w:rPr>
            </w:r>
          </w:p>
        </w:tc>
        <w:tc>
          <w:tcPr>
            <w:tcBorders/>
            <w:tcW w:w="1387" w:type="dxa"/>
            <w:textDirection w:val="lrTb"/>
            <w:noWrap w:val="false"/>
          </w:tcPr>
          <w:p>
            <w:pPr>
              <w:widowControl w:val="false"/>
              <w:numPr>
                <w:ilvl w:val="0"/>
                <w:numId w:val="0"/>
              </w:numPr>
              <w:pBdr/>
              <w:tabs>
                <w:tab w:val="left" w:leader="none" w:pos="4820"/>
                <w:tab w:val="left" w:leader="none" w:pos="5812"/>
                <w:tab w:val="left" w:leader="none" w:pos="6804"/>
              </w:tabs>
              <w:spacing w:after="60" w:line="23" w:lineRule="atLeast"/>
              <w:ind/>
              <w:rPr>
                <w:color w:val="000000" w:themeColor="text1"/>
              </w:rPr>
            </w:pPr>
            <w:r>
              <w:rPr>
                <w:color w:val="000000" w:themeColor="text1"/>
              </w:rPr>
              <w:t xml:space="preserve">Минимальный срок предоставления лицензий</w:t>
            </w:r>
            <w:r>
              <w:rPr>
                <w:color w:val="000000" w:themeColor="text1"/>
              </w:rPr>
            </w:r>
            <w:r>
              <w:rPr>
                <w:color w:val="000000" w:themeColor="text1"/>
              </w:rPr>
            </w:r>
          </w:p>
        </w:tc>
        <w:tc>
          <w:tcPr>
            <w:tcBorders/>
            <w:tcW w:w="1276" w:type="dxa"/>
            <w:textDirection w:val="lrTb"/>
            <w:noWrap w:val="false"/>
          </w:tcPr>
          <w:p>
            <w:pPr>
              <w:widowControl w:val="false"/>
              <w:numPr>
                <w:ilvl w:val="0"/>
                <w:numId w:val="0"/>
              </w:numPr>
              <w:pBdr/>
              <w:tabs>
                <w:tab w:val="left" w:leader="none" w:pos="4820"/>
                <w:tab w:val="left" w:leader="none" w:pos="6804"/>
              </w:tabs>
              <w:spacing w:after="60" w:line="23" w:lineRule="atLeast"/>
              <w:ind/>
              <w:rPr>
                <w:color w:val="000000" w:themeColor="text1"/>
              </w:rPr>
            </w:pPr>
            <w:r>
              <w:rPr>
                <w:color w:val="000000" w:themeColor="text1"/>
              </w:rPr>
              <w:t xml:space="preserve">Количество лицензий на ПО</w:t>
            </w:r>
            <w:r>
              <w:rPr>
                <w:color w:val="000000" w:themeColor="text1"/>
              </w:rPr>
            </w:r>
            <w:r>
              <w:rPr>
                <w:color w:val="000000" w:themeColor="text1"/>
              </w:rPr>
            </w:r>
          </w:p>
        </w:tc>
        <w:tc>
          <w:tcPr>
            <w:tcBorders/>
            <w:tcW w:w="1985" w:type="dxa"/>
            <w:textDirection w:val="lrTb"/>
            <w:noWrap w:val="false"/>
          </w:tcPr>
          <w:p>
            <w:pPr>
              <w:widowControl w:val="false"/>
              <w:numPr>
                <w:ilvl w:val="0"/>
                <w:numId w:val="0"/>
              </w:numPr>
              <w:pBdr/>
              <w:tabs>
                <w:tab w:val="left" w:leader="none" w:pos="4820"/>
                <w:tab w:val="left" w:leader="none" w:pos="5812"/>
                <w:tab w:val="left" w:leader="none" w:pos="6804"/>
              </w:tabs>
              <w:spacing w:after="60" w:line="23" w:lineRule="atLeast"/>
              <w:ind/>
              <w:rPr>
                <w:color w:val="000000" w:themeColor="text1"/>
              </w:rPr>
            </w:pPr>
            <w:r>
              <w:rPr>
                <w:color w:val="000000" w:themeColor="text1"/>
              </w:rPr>
              <w:t xml:space="preserve">Цена за календарный месяц, руб./пользователь</w:t>
            </w:r>
            <w:r>
              <w:rPr>
                <w:color w:val="000000" w:themeColor="text1"/>
              </w:rPr>
            </w:r>
            <w:r>
              <w:rPr>
                <w:color w:val="000000" w:themeColor="text1"/>
              </w:rPr>
            </w:r>
          </w:p>
        </w:tc>
        <w:tc>
          <w:tcPr>
            <w:tcBorders/>
            <w:tcW w:w="1943" w:type="dxa"/>
            <w:textDirection w:val="lrTb"/>
            <w:noWrap w:val="false"/>
          </w:tcPr>
          <w:p>
            <w:pPr>
              <w:widowControl w:val="false"/>
              <w:numPr>
                <w:ilvl w:val="0"/>
                <w:numId w:val="0"/>
              </w:numPr>
              <w:pBdr/>
              <w:tabs>
                <w:tab w:val="left" w:leader="none" w:pos="4820"/>
                <w:tab w:val="left" w:leader="none" w:pos="5812"/>
                <w:tab w:val="left" w:leader="none" w:pos="6804"/>
              </w:tabs>
              <w:spacing w:after="60" w:line="23" w:lineRule="atLeast"/>
              <w:ind/>
              <w:rPr>
                <w:color w:val="000000" w:themeColor="text1"/>
              </w:rPr>
            </w:pPr>
            <w:r>
              <w:rPr>
                <w:color w:val="000000" w:themeColor="text1"/>
              </w:rPr>
              <w:t xml:space="preserve">Итоговая стоимость за весь период, руб.</w:t>
            </w:r>
            <w:r>
              <w:rPr>
                <w:color w:val="000000" w:themeColor="text1"/>
              </w:rPr>
            </w:r>
            <w:r>
              <w:rPr>
                <w:color w:val="000000" w:themeColor="text1"/>
              </w:rPr>
            </w:r>
          </w:p>
        </w:tc>
      </w:tr>
      <w:tr>
        <w:trPr/>
        <w:tc>
          <w:tcPr>
            <w:tcBorders/>
            <w:tcW w:w="720"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1</w:t>
            </w:r>
            <w:r/>
          </w:p>
        </w:tc>
        <w:tc>
          <w:tcPr>
            <w:tcBorders/>
            <w:tcW w:w="2424" w:type="dxa"/>
            <w:textDirection w:val="lrTb"/>
            <w:noWrap w:val="false"/>
          </w:tcPr>
          <w:p>
            <w:pPr>
              <w:widowControl w:val="false"/>
              <w:numPr>
                <w:ilvl w:val="0"/>
                <w:numId w:val="0"/>
              </w:numPr>
              <w:pBdr/>
              <w:spacing w:after="60" w:line="23" w:lineRule="atLeast"/>
              <w:ind w:right="142" w:firstLine="0" w:left="75"/>
              <w:rPr/>
            </w:pPr>
            <w:r>
              <w:t xml:space="preserve">{{ spec_line1_name }}</w:t>
            </w:r>
            <w:r/>
          </w:p>
        </w:tc>
        <w:tc>
          <w:tcPr>
            <w:tcBorders/>
            <w:tcW w:w="1387" w:type="dxa"/>
            <w:textDirection w:val="lrTb"/>
            <w:noWrap w:val="false"/>
          </w:tcPr>
          <w:p>
            <w:pPr>
              <w:widowControl w:val="false"/>
              <w:numPr>
                <w:ilvl w:val="0"/>
                <w:numId w:val="0"/>
              </w:numPr>
              <w:pBdr/>
              <w:spacing w:after="60" w:line="23" w:lineRule="atLeast"/>
              <w:ind/>
              <w:rPr/>
            </w:pPr>
            <w:r>
              <w:t xml:space="preserve">{{ spec_line1_period }}</w:t>
            </w:r>
            <w:r/>
          </w:p>
        </w:tc>
        <w:tc>
          <w:tcPr>
            <w:tcBorders/>
            <w:tcW w:w="1276" w:type="dxa"/>
            <w:textDirection w:val="lrTb"/>
            <w:noWrap w:val="false"/>
          </w:tcPr>
          <w:p>
            <w:pPr>
              <w:widowControl w:val="false"/>
              <w:numPr>
                <w:ilvl w:val="0"/>
                <w:numId w:val="0"/>
              </w:numPr>
              <w:pBdr/>
              <w:spacing w:after="60" w:line="23" w:lineRule="atLeast"/>
              <w:ind/>
              <w:rPr/>
            </w:pPr>
            <w:r>
              <w:t xml:space="preserve">{{ spec_line1_qty }}</w:t>
            </w:r>
            <w:r/>
          </w:p>
        </w:tc>
        <w:tc>
          <w:tcPr>
            <w:tcBorders/>
            <w:tcW w:w="1985" w:type="dxa"/>
            <w:textDirection w:val="lrTb"/>
            <w:noWrap w:val="false"/>
          </w:tcPr>
          <w:p>
            <w:pPr>
              <w:widowControl w:val="false"/>
              <w:numPr>
                <w:ilvl w:val="0"/>
                <w:numId w:val="0"/>
              </w:numPr>
              <w:pBdr/>
              <w:spacing w:after="60" w:line="23" w:lineRule="atLeast"/>
              <w:ind/>
              <w:rPr/>
            </w:pPr>
            <w:r>
              <w:t xml:space="preserve">{{ spec_line1_price }}</w:t>
            </w:r>
            <w:r/>
          </w:p>
        </w:tc>
        <w:tc>
          <w:tcPr>
            <w:tcBorders/>
            <w:tcW w:w="1943" w:type="dxa"/>
            <w:textDirection w:val="lrTb"/>
            <w:noWrap w:val="false"/>
          </w:tcPr>
          <w:p>
            <w:pPr>
              <w:widowControl w:val="false"/>
              <w:numPr>
                <w:ilvl w:val="0"/>
                <w:numId w:val="0"/>
              </w:numPr>
              <w:pBdr/>
              <w:spacing w:after="60" w:line="23" w:lineRule="atLeast"/>
              <w:ind/>
              <w:rPr/>
            </w:pPr>
            <w:r>
              <w:t xml:space="preserve">{{ spec_line1_total }}</w:t>
            </w:r>
            <w:r/>
          </w:p>
        </w:tc>
      </w:tr>
      <w:tr>
        <w:trPr/>
        <w:tc>
          <w:tcPr>
            <w:tcBorders/>
            <w:tcW w:w="720"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2</w:t>
            </w:r>
            <w:r/>
          </w:p>
        </w:tc>
        <w:tc>
          <w:tcPr>
            <w:tcBorders/>
            <w:tcW w:w="2424" w:type="dxa"/>
            <w:textDirection w:val="lrTb"/>
            <w:noWrap w:val="false"/>
          </w:tcPr>
          <w:p>
            <w:pPr>
              <w:widowControl w:val="false"/>
              <w:numPr>
                <w:ilvl w:val="0"/>
                <w:numId w:val="0"/>
              </w:numPr>
              <w:pBdr/>
              <w:spacing w:after="60" w:line="23" w:lineRule="atLeast"/>
              <w:ind w:right="142" w:firstLine="0" w:left="75"/>
              <w:rPr/>
            </w:pPr>
            <w:r>
              <w:t xml:space="preserve">{{ spec_line2_name }}</w:t>
            </w:r>
            <w:r/>
          </w:p>
        </w:tc>
        <w:tc>
          <w:tcPr>
            <w:tcBorders/>
            <w:tcW w:w="1387" w:type="dxa"/>
            <w:textDirection w:val="lrTb"/>
            <w:noWrap w:val="false"/>
          </w:tcPr>
          <w:p>
            <w:pPr>
              <w:widowControl w:val="false"/>
              <w:numPr>
                <w:ilvl w:val="0"/>
                <w:numId w:val="0"/>
              </w:numPr>
              <w:pBdr/>
              <w:spacing w:after="60" w:line="23" w:lineRule="atLeast"/>
              <w:ind/>
              <w:rPr/>
            </w:pPr>
            <w:r>
              <w:t xml:space="preserve">{{ spec_line2_period }}</w:t>
            </w:r>
            <w:r/>
          </w:p>
        </w:tc>
        <w:tc>
          <w:tcPr>
            <w:tcBorders/>
            <w:tcW w:w="1276" w:type="dxa"/>
            <w:textDirection w:val="lrTb"/>
            <w:noWrap w:val="false"/>
          </w:tcPr>
          <w:p>
            <w:pPr>
              <w:widowControl w:val="false"/>
              <w:numPr>
                <w:ilvl w:val="0"/>
                <w:numId w:val="0"/>
              </w:numPr>
              <w:pBdr/>
              <w:spacing w:after="60" w:line="23" w:lineRule="atLeast"/>
              <w:ind/>
              <w:rPr/>
            </w:pPr>
            <w:r>
              <w:t xml:space="preserve">{{ spec_line2_qty }}</w:t>
            </w:r>
            <w:r/>
          </w:p>
        </w:tc>
        <w:tc>
          <w:tcPr>
            <w:tcBorders/>
            <w:tcW w:w="1985" w:type="dxa"/>
            <w:textDirection w:val="lrTb"/>
            <w:noWrap w:val="false"/>
          </w:tcPr>
          <w:p>
            <w:pPr>
              <w:widowControl w:val="false"/>
              <w:numPr>
                <w:ilvl w:val="0"/>
                <w:numId w:val="0"/>
              </w:numPr>
              <w:pBdr/>
              <w:spacing w:after="60" w:line="23" w:lineRule="atLeast"/>
              <w:ind/>
              <w:rPr/>
            </w:pPr>
            <w:r>
              <w:t xml:space="preserve">{{ spec_line2_price }}</w:t>
            </w:r>
            <w:r/>
          </w:p>
        </w:tc>
        <w:tc>
          <w:tcPr>
            <w:tcBorders/>
            <w:tcW w:w="1943" w:type="dxa"/>
            <w:textDirection w:val="lrTb"/>
            <w:noWrap w:val="false"/>
          </w:tcPr>
          <w:p>
            <w:pPr>
              <w:widowControl w:val="false"/>
              <w:numPr>
                <w:ilvl w:val="0"/>
                <w:numId w:val="0"/>
              </w:numPr>
              <w:pBdr/>
              <w:spacing w:after="60" w:line="23" w:lineRule="atLeast"/>
              <w:ind/>
              <w:rPr/>
            </w:pPr>
            <w:r>
              <w:t xml:space="preserve">{{ spec_line2_total }}</w:t>
            </w:r>
            <w:r/>
          </w:p>
        </w:tc>
      </w:tr>
      <w:tr>
        <w:trPr/>
        <w:tc>
          <w:tcPr>
            <w:tcBorders/>
            <w:tcW w:w="720"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{%tr if spec_line3_name != "-" %}</w:t>
            </w:r>
            <w:r/>
          </w:p>
        </w:tc>
        <w:tc>
          <w:tcPr>
            <w:tcBorders/>
            <w:tcW w:w="2424" w:type="dxa"/>
            <w:textDirection w:val="lrTb"/>
            <w:noWrap w:val="false"/>
          </w:tcPr>
          <w:p>
            <w:pPr>
              <w:widowControl w:val="false"/>
              <w:numPr>
                <w:ilvl w:val="0"/>
                <w:numId w:val="0"/>
              </w:numPr>
              <w:pBdr/>
              <w:spacing w:after="60" w:line="23" w:lineRule="atLeast"/>
              <w:ind w:right="142" w:firstLine="0" w:left="75"/>
              <w:rPr/>
            </w:pPr>
            <w:r/>
            <w:r/>
          </w:p>
        </w:tc>
        <w:tc>
          <w:tcPr>
            <w:tcBorders/>
            <w:tcW w:w="1387" w:type="dxa"/>
            <w:textDirection w:val="lrTb"/>
            <w:noWrap w:val="false"/>
          </w:tcPr>
          <w:p>
            <w:pPr>
              <w:widowControl w:val="false"/>
              <w:numPr>
                <w:ilvl w:val="0"/>
                <w:numId w:val="0"/>
              </w:numPr>
              <w:pBdr/>
              <w:spacing w:after="60" w:line="23" w:lineRule="atLeast"/>
              <w:ind/>
              <w:rPr/>
            </w:pPr>
            <w:r/>
            <w:r/>
          </w:p>
        </w:tc>
        <w:tc>
          <w:tcPr>
            <w:tcBorders/>
            <w:tcW w:w="1276" w:type="dxa"/>
            <w:textDirection w:val="lrTb"/>
            <w:noWrap w:val="false"/>
          </w:tcPr>
          <w:p>
            <w:pPr>
              <w:widowControl w:val="false"/>
              <w:numPr>
                <w:ilvl w:val="0"/>
                <w:numId w:val="0"/>
              </w:numPr>
              <w:pBdr/>
              <w:spacing w:after="60" w:line="23" w:lineRule="atLeast"/>
              <w:ind/>
              <w:rPr/>
            </w:pPr>
            <w:r/>
            <w:r/>
          </w:p>
        </w:tc>
        <w:tc>
          <w:tcPr>
            <w:tcBorders/>
            <w:tcW w:w="1985" w:type="dxa"/>
            <w:textDirection w:val="lrTb"/>
            <w:noWrap w:val="false"/>
          </w:tcPr>
          <w:p>
            <w:pPr>
              <w:widowControl w:val="false"/>
              <w:numPr>
                <w:ilvl w:val="0"/>
                <w:numId w:val="0"/>
              </w:numPr>
              <w:pBdr/>
              <w:spacing w:after="60" w:line="23" w:lineRule="atLeast"/>
              <w:ind/>
              <w:rPr/>
            </w:pPr>
            <w:r/>
            <w:r/>
          </w:p>
        </w:tc>
        <w:tc>
          <w:tcPr>
            <w:tcBorders/>
            <w:tcW w:w="1943" w:type="dxa"/>
            <w:textDirection w:val="lrTb"/>
            <w:noWrap w:val="false"/>
          </w:tcPr>
          <w:p>
            <w:pPr>
              <w:widowControl w:val="false"/>
              <w:numPr>
                <w:ilvl w:val="0"/>
                <w:numId w:val="0"/>
              </w:numPr>
              <w:pBdr/>
              <w:spacing w:after="60" w:line="23" w:lineRule="atLeast"/>
              <w:ind/>
              <w:rPr/>
            </w:pPr>
            <w:r/>
            <w:r/>
          </w:p>
        </w:tc>
      </w:tr>
      <w:tr>
        <w:trPr/>
        <w:tc>
          <w:tcPr>
            <w:tcBorders/>
            <w:tcW w:w="720"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3</w:t>
            </w:r>
            <w:r/>
          </w:p>
        </w:tc>
        <w:tc>
          <w:tcPr>
            <w:tcBorders/>
            <w:tcW w:w="2424" w:type="dxa"/>
            <w:textDirection w:val="lrTb"/>
            <w:noWrap w:val="false"/>
          </w:tcPr>
          <w:p>
            <w:pPr>
              <w:widowControl w:val="false"/>
              <w:numPr>
                <w:ilvl w:val="0"/>
                <w:numId w:val="0"/>
              </w:numPr>
              <w:pBdr/>
              <w:spacing w:after="60" w:line="23" w:lineRule="atLeast"/>
              <w:ind w:right="142" w:firstLine="0" w:left="75"/>
              <w:rPr/>
            </w:pPr>
            <w:r>
              <w:t xml:space="preserve">{{ spec_line3_name }}</w:t>
            </w:r>
            <w:r/>
          </w:p>
        </w:tc>
        <w:tc>
          <w:tcPr>
            <w:tcBorders/>
            <w:tcW w:w="1387" w:type="dxa"/>
            <w:textDirection w:val="lrTb"/>
            <w:noWrap w:val="false"/>
          </w:tcPr>
          <w:p>
            <w:pPr>
              <w:widowControl w:val="false"/>
              <w:numPr>
                <w:ilvl w:val="0"/>
                <w:numId w:val="0"/>
              </w:numPr>
              <w:pBdr/>
              <w:spacing w:after="60" w:line="23" w:lineRule="atLeast"/>
              <w:ind/>
              <w:rPr/>
            </w:pPr>
            <w:r>
              <w:t xml:space="preserve">{{ spec_line3_period }}</w:t>
            </w:r>
            <w:r/>
          </w:p>
        </w:tc>
        <w:tc>
          <w:tcPr>
            <w:tcBorders/>
            <w:tcW w:w="1276" w:type="dxa"/>
            <w:textDirection w:val="lrTb"/>
            <w:noWrap w:val="false"/>
          </w:tcPr>
          <w:p>
            <w:pPr>
              <w:widowControl w:val="false"/>
              <w:numPr>
                <w:ilvl w:val="0"/>
                <w:numId w:val="0"/>
              </w:numPr>
              <w:pBdr/>
              <w:spacing w:after="60" w:line="23" w:lineRule="atLeast"/>
              <w:ind/>
              <w:rPr/>
            </w:pPr>
            <w:r>
              <w:t xml:space="preserve">{{ spec_line3_qty }}</w:t>
            </w:r>
            <w:r/>
          </w:p>
        </w:tc>
        <w:tc>
          <w:tcPr>
            <w:tcBorders/>
            <w:tcW w:w="1985" w:type="dxa"/>
            <w:textDirection w:val="lrTb"/>
            <w:noWrap w:val="false"/>
          </w:tcPr>
          <w:p>
            <w:pPr>
              <w:widowControl w:val="false"/>
              <w:numPr>
                <w:ilvl w:val="0"/>
                <w:numId w:val="0"/>
              </w:numPr>
              <w:pBdr/>
              <w:spacing w:after="60" w:line="23" w:lineRule="atLeast"/>
              <w:ind/>
              <w:rPr/>
            </w:pPr>
            <w:r>
              <w:t xml:space="preserve">{{ spec_line3_price }}</w:t>
            </w:r>
            <w:r/>
          </w:p>
        </w:tc>
        <w:tc>
          <w:tcPr>
            <w:tcBorders/>
            <w:tcW w:w="1943" w:type="dxa"/>
            <w:textDirection w:val="lrTb"/>
            <w:noWrap w:val="false"/>
          </w:tcPr>
          <w:p>
            <w:pPr>
              <w:widowControl w:val="false"/>
              <w:numPr>
                <w:ilvl w:val="0"/>
                <w:numId w:val="0"/>
              </w:numPr>
              <w:pBdr/>
              <w:spacing w:after="60" w:line="23" w:lineRule="atLeast"/>
              <w:ind/>
              <w:rPr/>
            </w:pPr>
            <w:r>
              <w:t xml:space="preserve">{{ spec_line3_total }}</w:t>
            </w:r>
            <w:r/>
          </w:p>
        </w:tc>
      </w:tr>
      <w:tr>
        <w:trPr/>
        <w:tc>
          <w:tcPr>
            <w:tcBorders/>
            <w:tcW w:w="720"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{%tr endif %}</w:t>
            </w:r>
            <w:r/>
          </w:p>
        </w:tc>
        <w:tc>
          <w:tcPr>
            <w:tcBorders/>
            <w:tcW w:w="2424" w:type="dxa"/>
            <w:textDirection w:val="lrTb"/>
            <w:noWrap w:val="false"/>
          </w:tcPr>
          <w:p>
            <w:pPr>
              <w:widowControl w:val="false"/>
              <w:numPr>
                <w:ilvl w:val="0"/>
                <w:numId w:val="0"/>
              </w:numPr>
              <w:pBdr/>
              <w:spacing w:after="60" w:line="23" w:lineRule="atLeast"/>
              <w:ind w:right="142" w:firstLine="0" w:left="75"/>
              <w:rPr/>
            </w:pPr>
            <w:r/>
            <w:r/>
          </w:p>
        </w:tc>
        <w:tc>
          <w:tcPr>
            <w:tcBorders/>
            <w:tcW w:w="1387" w:type="dxa"/>
            <w:textDirection w:val="lrTb"/>
            <w:noWrap w:val="false"/>
          </w:tcPr>
          <w:p>
            <w:pPr>
              <w:widowControl w:val="false"/>
              <w:numPr>
                <w:ilvl w:val="0"/>
                <w:numId w:val="0"/>
              </w:numPr>
              <w:pBdr/>
              <w:spacing w:after="60" w:line="23" w:lineRule="atLeast"/>
              <w:ind/>
              <w:rPr/>
            </w:pPr>
            <w:r/>
            <w:r/>
          </w:p>
        </w:tc>
        <w:tc>
          <w:tcPr>
            <w:tcBorders/>
            <w:tcW w:w="1276" w:type="dxa"/>
            <w:textDirection w:val="lrTb"/>
            <w:noWrap w:val="false"/>
          </w:tcPr>
          <w:p>
            <w:pPr>
              <w:widowControl w:val="false"/>
              <w:numPr>
                <w:ilvl w:val="0"/>
                <w:numId w:val="0"/>
              </w:numPr>
              <w:pBdr/>
              <w:spacing w:after="60" w:line="23" w:lineRule="atLeast"/>
              <w:ind/>
              <w:rPr/>
            </w:pPr>
            <w:r/>
            <w:r/>
          </w:p>
        </w:tc>
        <w:tc>
          <w:tcPr>
            <w:tcBorders/>
            <w:tcW w:w="1985" w:type="dxa"/>
            <w:textDirection w:val="lrTb"/>
            <w:noWrap w:val="false"/>
          </w:tcPr>
          <w:p>
            <w:pPr>
              <w:widowControl w:val="false"/>
              <w:numPr>
                <w:ilvl w:val="0"/>
                <w:numId w:val="0"/>
              </w:numPr>
              <w:pBdr/>
              <w:spacing w:after="60" w:line="23" w:lineRule="atLeast"/>
              <w:ind/>
              <w:rPr/>
            </w:pPr>
            <w:r/>
            <w:r/>
          </w:p>
        </w:tc>
        <w:tc>
          <w:tcPr>
            <w:tcBorders/>
            <w:tcW w:w="1943" w:type="dxa"/>
            <w:textDirection w:val="lrTb"/>
            <w:noWrap w:val="false"/>
          </w:tcPr>
          <w:p>
            <w:pPr>
              <w:widowControl w:val="false"/>
              <w:numPr>
                <w:ilvl w:val="0"/>
                <w:numId w:val="0"/>
              </w:numPr>
              <w:pBdr/>
              <w:spacing w:after="60" w:line="23" w:lineRule="atLeast"/>
              <w:ind/>
              <w:rPr/>
            </w:pPr>
            <w:r/>
            <w:r/>
          </w:p>
        </w:tc>
      </w:tr>
      <w:tr>
        <w:trPr/>
        <w:tc>
          <w:tcPr>
            <w:gridSpan w:val="5"/>
            <w:tcBorders/>
            <w:tcW w:w="7792" w:type="dxa"/>
            <w:textDirection w:val="lrTb"/>
            <w:noWrap w:val="false"/>
          </w:tcPr>
          <w:p>
            <w:pPr>
              <w:widowControl w:val="false"/>
              <w:numPr>
                <w:ilvl w:val="0"/>
                <w:numId w:val="0"/>
              </w:numPr>
              <w:pBdr/>
              <w:spacing w:after="60" w:line="23" w:lineRule="atLeast"/>
              <w:ind/>
              <w:jc w:val="right"/>
              <w:rPr/>
            </w:pPr>
            <w:r>
              <w:t xml:space="preserve">ИТОГО:</w:t>
            </w:r>
            <w:r/>
          </w:p>
        </w:tc>
        <w:tc>
          <w:tcPr>
            <w:tcBorders/>
            <w:tcW w:w="1943" w:type="dxa"/>
            <w:textDirection w:val="lrTb"/>
            <w:noWrap w:val="false"/>
          </w:tcPr>
          <w:p>
            <w:pPr>
              <w:widowControl w:val="false"/>
              <w:numPr>
                <w:ilvl w:val="0"/>
                <w:numId w:val="0"/>
              </w:numPr>
              <w:pBdr/>
              <w:spacing w:after="60" w:line="23" w:lineRule="atLeast"/>
              <w:ind/>
              <w:rPr/>
            </w:pPr>
            <w:r>
              <w:t xml:space="preserve">{{ spec_total }}</w:t>
            </w:r>
            <w:bookmarkEnd w:id="12"/>
            <w:r/>
            <w:r/>
          </w:p>
        </w:tc>
      </w:tr>
    </w:tbl>
    <w:p>
      <w:pPr>
        <w:widowControl w:val="false"/>
        <w:numPr>
          <w:ilvl w:val="0"/>
          <w:numId w:val="0"/>
        </w:numPr>
        <w:pBdr/>
        <w:spacing w:after="60" w:line="23" w:lineRule="atLeast"/>
        <w:ind/>
        <w:rPr/>
      </w:pPr>
      <w:r/>
      <w:r/>
    </w:p>
    <w:p>
      <w:pPr>
        <w:widowControl w:val="false"/>
        <w:numPr>
          <w:ilvl w:val="0"/>
          <w:numId w:val="0"/>
        </w:numPr>
        <w:pBdr/>
        <w:spacing w:after="60" w:line="23" w:lineRule="atLeast"/>
        <w:ind/>
        <w:rPr/>
      </w:pPr>
      <w:r>
        <w:t xml:space="preserve">Гость</w:t>
      </w:r>
      <w:r>
        <w:t xml:space="preserve"> — лицензия пользователя с ограниченным доступом к функциям Программного обеспечения. Гостю доступно: участие в одном групповом чате и его тредах, отправка сообщений и файлов в рамках этого чата. Гостю недоступно: создание чатов, просмотр списка сотруднико</w:t>
      </w:r>
      <w:r>
        <w:t xml:space="preserve">в компании, поиск открытых чатов, создание интеграций, добавление в групповые теги, самостоятельный выход из чата. На каждую оплаченную лицензию с модулем «Администратор», «Сотрудник» или «Мульти-гость» предоставляется до 3 бесплатных гостевых лицензий (мо</w:t>
      </w:r>
      <w:r>
        <w:t xml:space="preserve">дуль «Гость»). Гостевые лицензии доступны при покупке лицензий с модулем «Администратор», «Сотрудник» или «Мульти-гость». Дополнительные лицензии сверх бесплатного лимита — 49 руб/мес (39 руб/мес при оплате за год) за каждую, без ограничения по количеству.</w:t>
      </w:r>
      <w:r/>
    </w:p>
    <w:p>
      <w:pPr>
        <w:widowControl w:val="false"/>
        <w:numPr>
          <w:ilvl w:val="0"/>
          <w:numId w:val="0"/>
        </w:numPr>
        <w:pBdr/>
        <w:spacing w:after="60" w:line="23" w:lineRule="atLeast"/>
        <w:ind/>
        <w:rPr/>
      </w:pPr>
      <w:r>
        <w:t xml:space="preserve">Мульти-гость — лицензия </w:t>
      </w:r>
      <w:r>
        <w:t xml:space="preserve">пользователя с расширенным гостевым доступом к функциям Программного обеспечения. Мульти-гостю доступно: участие в любом количестве групповых чатов и их тредах, отправка сообщений и файлов. Мульти-гостю недоступно: создание чатов, просмотр списка сотрудник</w:t>
      </w:r>
      <w:r>
        <w:t xml:space="preserve">ов компании, поиск открытых чатов, создание интеграций, добавление в групповые теги. Мульти-гостевые лицензии доступны при покупке лицензий с типом «Компания» и/или «Корпорация». Стоимость лицензии — 199 руб/мес (159 руб/мес при оплате за год).</w:t>
      </w:r>
      <w:r/>
    </w:p>
    <w:p>
      <w:pPr>
        <w:widowControl w:val="false"/>
        <w:numPr>
          <w:ilvl w:val="0"/>
          <w:numId w:val="0"/>
        </w:numPr>
        <w:pBdr/>
        <w:spacing w:after="60" w:line="23" w:lineRule="atLeast"/>
        <w:ind/>
        <w:rPr/>
      </w:pPr>
      <w:r>
        <w:t xml:space="preserve">Срок действия лицензии на ПО определяется в настоящей Спецификации и/или иных договорных документах, согласованных Сторонами (если применимо), или в счёте на оплату Лицензий. </w:t>
      </w:r>
      <w:r/>
    </w:p>
    <w:p>
      <w:pPr>
        <w:widowControl w:val="false"/>
        <w:numPr>
          <w:ilvl w:val="0"/>
          <w:numId w:val="0"/>
        </w:numPr>
        <w:pBdr/>
        <w:spacing w:after="60" w:line="23" w:lineRule="atLeast"/>
        <w:ind/>
        <w:rPr/>
      </w:pPr>
      <w:r>
        <w:t xml:space="preserve">Программное обеспечение, указанное в настоящей Спецификации, включено в единый реестр российских программ для ЭВМ и баз данных. Лицензионное вознаграждение НДС не облагается на основании подпункта 26 пункта 2 статьи 149 НК РФ. </w:t>
      </w:r>
      <w:r/>
    </w:p>
    <w:p>
      <w:pPr>
        <w:widowControl w:val="false"/>
        <w:numPr>
          <w:ilvl w:val="0"/>
          <w:numId w:val="0"/>
        </w:numPr>
        <w:pBdr/>
        <w:spacing w:after="60" w:line="23" w:lineRule="atLeast"/>
        <w:ind/>
        <w:rPr/>
      </w:pPr>
      <w:r>
        <w:t xml:space="preserve">Суммарный объём всех файлов, хранящихся в ПО «Пачка» составляет не более 1 Тб (один терабайт) на одно юридическое лицо.</w:t>
      </w:r>
      <w:r/>
    </w:p>
    <w:p>
      <w:pPr>
        <w:widowControl w:val="false"/>
        <w:numPr>
          <w:ilvl w:val="0"/>
          <w:numId w:val="0"/>
        </w:numPr>
        <w:pBdr/>
        <w:spacing w:after="60" w:line="23" w:lineRule="atLeast"/>
        <w:ind/>
        <w:rPr/>
      </w:pPr>
      <w:r>
        <w:t xml:space="preserve">Лицензиар может пересматривать стоимость лицензий не чаще одного раза в год. </w:t>
      </w:r>
      <w:r/>
    </w:p>
    <w:p>
      <w:pPr>
        <w:widowControl w:val="false"/>
        <w:numPr>
          <w:ilvl w:val="0"/>
          <w:numId w:val="0"/>
        </w:numPr>
        <w:pBdr/>
        <w:spacing w:after="60" w:line="23" w:lineRule="atLeast"/>
        <w:ind/>
        <w:rPr/>
      </w:pPr>
      <w:r>
        <w:t xml:space="preserve">Лицензиар предоставляет Лицензии Лицензиату в течение 1 рабочего дня с даты вступления в силу настоящего Д</w:t>
      </w:r>
      <w:r>
        <w:t xml:space="preserve">оговора. Лицензиар направляет счёт на оплату лицензий и акт о предоставлении лицензий в течение 1 рабочего дня с даты подписания настоящего Договора. Лицензиат обязуется подписать акт в течение 10 (десяти) рабочих дней с момента получения оригинала акта ил</w:t>
      </w:r>
      <w:r>
        <w:t xml:space="preserve">и предоставить мотивированный отказ от подписания. Если акт не подписан в течение 10 (десяти) рабочих дней, то все лицензии и услуги, указанные в акте, считаются принятыми Лицензиатом в полном объёме, причём Лицензиат не будет иметь претензий к Лицензиару.</w:t>
      </w:r>
      <w:r/>
    </w:p>
    <w:p>
      <w:pPr>
        <w:widowControl w:val="false"/>
        <w:numPr>
          <w:ilvl w:val="0"/>
          <w:numId w:val="0"/>
        </w:numPr>
        <w:pBdr/>
        <w:spacing w:after="60" w:line="23" w:lineRule="atLeast"/>
        <w:ind/>
        <w:rPr/>
      </w:pPr>
      <w:r/>
      <w:r/>
    </w:p>
    <w:p>
      <w:pPr>
        <w:widowControl w:val="false"/>
        <w:numPr>
          <w:ilvl w:val="0"/>
          <w:numId w:val="0"/>
        </w:numPr>
        <w:pBdr/>
        <w:spacing w:after="60" w:line="23" w:lineRule="atLeast"/>
        <w:ind w:firstLine="0" w:left="0"/>
        <w:rPr/>
      </w:pPr>
      <w:r>
        <w:rPr>
          <w:b/>
        </w:rPr>
        <w:t xml:space="preserve">Специальное условие для лицензий с типом «Корпорация»: </w:t>
      </w:r>
      <w:r>
        <w:t xml:space="preserve">Лицензиар направляет Лицензиату 1 раз в месяц статистику использования лицензий ПО за прошедший календарный месяц. Если количество активных лицензий, которые Лицензиат использовал в предыдущем календарном месяце, боль</w:t>
      </w:r>
      <w:r>
        <w:t xml:space="preserve">ше оплаченного количества лицензий, то Лицензиар не чаще 1 раза в 3 месяца выставляет Лицензиату счёт за использование дополнительных лицензий. Если количество активных лицензий, которые Лицензиат использовал в предыдущем календарном месяце, меньше оплачен</w:t>
      </w:r>
      <w:r>
        <w:t xml:space="preserve">ного количества лицензий, то Лицензиар начисляет Лицензиату баллы за неиспользованные лицензии. Начисленные баллы можно использовать только на продление срока действия лицензий в течение 1 календарного года с момента начисления из расчёта 1 балл = 1 рубль.</w:t>
      </w:r>
      <w:r/>
    </w:p>
    <w:p>
      <w:pPr>
        <w:widowControl w:val="false"/>
        <w:numPr>
          <w:ilvl w:val="0"/>
          <w:numId w:val="0"/>
        </w:numPr>
        <w:pBdr/>
        <w:spacing w:after="60" w:line="23" w:lineRule="atLeast"/>
        <w:ind w:firstLine="0" w:left="0"/>
        <w:rPr/>
      </w:pPr>
      <w:r>
        <w:t xml:space="preserve">Если пользователь не использовал ПО постоянно в течение 14 (четырнадцати) календарных дней, то, начиная с 15 (пятнадцатого) дня неиспользования, лице</w:t>
      </w:r>
      <w:r>
        <w:t xml:space="preserve">нзия пользователя считается неактивной. Как только пользователь начинает использовать ПО, лицензия такого пользователя становится активной. Также лицензия считается неактивной при приостановке доступа к учётной записи пользователя администратором компании.</w:t>
      </w:r>
      <w:r/>
    </w:p>
    <w:p>
      <w:pPr>
        <w:numPr>
          <w:ilvl w:val="0"/>
          <w:numId w:val="0"/>
        </w:numPr>
        <w:pBdr/>
        <w:spacing w:after="240" w:line="276" w:lineRule="auto"/>
        <w:ind/>
        <w:jc w:val="both"/>
        <w:rPr/>
      </w:pPr>
      <w:r/>
      <w:r/>
    </w:p>
    <w:p>
      <w:pPr>
        <w:numPr>
          <w:ilvl w:val="0"/>
          <w:numId w:val="0"/>
        </w:numPr>
        <w:pBdr/>
        <w:spacing/>
        <w:ind/>
        <w:rPr/>
      </w:pPr>
      <w:r/>
      <w:r/>
    </w:p>
    <w:p>
      <w:pPr>
        <w:numPr>
          <w:ilvl w:val="0"/>
          <w:numId w:val="0"/>
        </w:numPr>
        <w:pBdr/>
        <w:spacing/>
        <w:ind/>
        <w:rPr/>
      </w:pPr>
      <w:r>
        <w:br w:type="page" w:clear="all"/>
      </w:r>
      <w:r/>
    </w:p>
    <w:p>
      <w:pPr>
        <w:widowControl w:val="false"/>
        <w:numPr>
          <w:ilvl w:val="0"/>
          <w:numId w:val="0"/>
        </w:numPr>
        <w:pBdr/>
        <w:spacing w:after="0" w:afterAutospacing="0" w:before="0" w:beforeAutospacing="0" w:line="240" w:lineRule="auto"/>
        <w:ind w:right="-35"/>
        <w:jc w:val="right"/>
        <w:rPr/>
      </w:pPr>
      <w:r>
        <w:t xml:space="preserve">Приложение № 2</w:t>
      </w:r>
      <w:r/>
    </w:p>
    <w:p>
      <w:pPr>
        <w:pStyle w:val="1062"/>
        <w:widowControl w:val="false"/>
        <w:numPr>
          <w:ilvl w:val="0"/>
          <w:numId w:val="0"/>
        </w:numPr>
        <w:pBdr/>
        <w:spacing w:after="0" w:afterAutospacing="0" w:before="0" w:beforeAutospacing="0" w:line="240" w:lineRule="auto"/>
        <w:ind w:right="-35"/>
        <w:jc w:val="right"/>
        <w:rPr/>
      </w:pPr>
      <w:r>
        <w:t xml:space="preserve">к Договору № {{ contract_number }}</w:t>
      </w:r>
      <w:r/>
    </w:p>
    <w:p>
      <w:pPr>
        <w:pStyle w:val="1062"/>
        <w:widowControl w:val="false"/>
        <w:numPr>
          <w:ilvl w:val="0"/>
          <w:numId w:val="0"/>
        </w:numPr>
        <w:pBdr/>
        <w:spacing w:after="0" w:afterAutospacing="0" w:before="0" w:beforeAutospacing="0" w:line="240" w:lineRule="auto"/>
        <w:ind w:right="-35"/>
        <w:jc w:val="right"/>
        <w:rPr/>
      </w:pPr>
      <w:r>
        <w:t xml:space="preserve">от «{{ contract_date_day }}» {{ contract_date_month_year }} г.</w:t>
      </w:r>
      <w:r/>
    </w:p>
    <w:p>
      <w:pPr>
        <w:widowControl w:val="false"/>
        <w:numPr>
          <w:ilvl w:val="0"/>
          <w:numId w:val="0"/>
        </w:numPr>
        <w:pBdr/>
        <w:spacing w:after="60" w:line="23" w:lineRule="atLeast"/>
        <w:ind w:right="-35"/>
        <w:jc w:val="right"/>
        <w:rPr>
          <w:b/>
        </w:rPr>
      </w:pPr>
      <w:r>
        <w:rPr>
          <w:b/>
        </w:rPr>
      </w:r>
      <w:r>
        <w:rPr>
          <w:b/>
        </w:rPr>
      </w:r>
      <w:r>
        <w:rPr>
          <w:b/>
        </w:rPr>
      </w:r>
    </w:p>
    <w:p>
      <w:pPr>
        <w:widowControl w:val="false"/>
        <w:numPr>
          <w:ilvl w:val="0"/>
          <w:numId w:val="0"/>
        </w:numPr>
        <w:pBdr/>
        <w:spacing w:after="60" w:line="23" w:lineRule="atLeast"/>
        <w:ind w:right="-35"/>
        <w:jc w:val="right"/>
        <w:rPr>
          <w:b/>
        </w:rPr>
      </w:pPr>
      <w:r>
        <w:rPr>
          <w:b/>
        </w:rPr>
      </w:r>
      <w:r>
        <w:rPr>
          <w:b/>
        </w:rPr>
      </w:r>
      <w:r>
        <w:rPr>
          <w:b/>
        </w:rPr>
      </w:r>
    </w:p>
    <w:p>
      <w:pPr>
        <w:widowControl w:val="false"/>
        <w:numPr>
          <w:ilvl w:val="0"/>
          <w:numId w:val="0"/>
        </w:numPr>
        <w:pBdr/>
        <w:spacing w:after="60" w:line="23" w:lineRule="atLeast"/>
        <w:ind w:right="-35"/>
        <w:jc w:val="both"/>
        <w:rPr/>
      </w:pPr>
      <w:r/>
      <w:r/>
    </w:p>
    <w:p>
      <w:pPr>
        <w:widowControl w:val="false"/>
        <w:numPr>
          <w:ilvl w:val="0"/>
          <w:numId w:val="0"/>
        </w:numPr>
        <w:pBdr/>
        <w:spacing w:after="60" w:line="23" w:lineRule="atLeast"/>
        <w:ind w:right="-177"/>
        <w:rPr/>
      </w:pPr>
      <w:r/>
      <w:r/>
    </w:p>
    <w:p>
      <w:pPr>
        <w:pStyle w:val="1104"/>
        <w:numPr>
          <w:ilvl w:val="0"/>
          <w:numId w:val="0"/>
        </w:numPr>
        <w:pBdr/>
        <w:spacing/>
        <w:ind/>
        <w:jc w:val="center"/>
        <w:rPr/>
      </w:pPr>
      <w:r>
        <w:t xml:space="preserve">СОГЛАШЕНИЕ ОБ УРОВНЕ СЕРВИСА (SERVICE LEVEL AGREEMENT (SLA)) ПРОГРАММЫ ДЛЯ ЭВМ «ПАЧКА»</w:t>
      </w:r>
      <w:r/>
    </w:p>
    <w:p>
      <w:pPr>
        <w:pStyle w:val="1068"/>
        <w:numPr>
          <w:ilvl w:val="0"/>
          <w:numId w:val="0"/>
        </w:numPr>
        <w:pBdr/>
        <w:spacing/>
        <w:ind/>
        <w:rPr/>
      </w:pPr>
      <w:r/>
      <w:r/>
    </w:p>
    <w:p>
      <w:pPr>
        <w:pStyle w:val="988"/>
        <w:numPr>
          <w:ilvl w:val="0"/>
          <w:numId w:val="0"/>
        </w:numPr>
        <w:pBdr/>
        <w:spacing/>
        <w:ind/>
        <w:rPr/>
      </w:pPr>
      <w:r>
        <w:t xml:space="preserve">Техническая поддержка</w:t>
      </w:r>
      <w:r/>
    </w:p>
    <w:p>
      <w:pPr>
        <w:pStyle w:val="1068"/>
        <w:numPr>
          <w:ilvl w:val="0"/>
          <w:numId w:val="0"/>
        </w:numPr>
        <w:pBdr/>
        <w:spacing/>
        <w:ind/>
        <w:rPr/>
      </w:pPr>
      <w:r>
        <w:t xml:space="preserve">Техническая поддержка пользователей программы для ЭВМ «Пачка» (далее по тексту «П</w:t>
      </w:r>
      <w:r>
        <w:t xml:space="preserve">ачка») осуществляется в чате в мессенджере </w:t>
      </w:r>
      <w:r>
        <w:rPr>
          <w:lang w:val="en-US"/>
        </w:rPr>
        <w:t xml:space="preserve">Max</w:t>
      </w:r>
      <w:r>
        <w:t xml:space="preserve">. Лицензиар не гарантирует SLA по срокам предоставления ответов на вопросы технической поддержки, но примерный срок, в течение которого все вопросы пользователей в поддержку получат ответ, составляет 12 часов с момент</w:t>
      </w:r>
      <w:r>
        <w:t xml:space="preserve">а отправки (в первую очередь из-за запросов в ночное время). Подавляющее большинство вопросов получат ответ за 15 минут после отправки, отправленные в рабочие часы будних дней. Время ответа может быть увеличено в случае перебоев или недоступности </w:t>
      </w:r>
      <w:r>
        <w:rPr>
          <w:lang w:val="en-US"/>
        </w:rPr>
        <w:t xml:space="preserve">Max</w:t>
      </w:r>
      <w:r>
        <w:t xml:space="preserve">.</w:t>
      </w:r>
      <w:r/>
    </w:p>
    <w:p>
      <w:pPr>
        <w:pStyle w:val="1068"/>
        <w:numPr>
          <w:ilvl w:val="0"/>
          <w:numId w:val="0"/>
        </w:numPr>
        <w:pBdr/>
        <w:spacing/>
        <w:ind/>
        <w:rPr/>
      </w:pPr>
      <w:r/>
      <w:r/>
    </w:p>
    <w:p>
      <w:pPr>
        <w:pStyle w:val="988"/>
        <w:numPr>
          <w:ilvl w:val="0"/>
          <w:numId w:val="0"/>
        </w:numPr>
        <w:pBdr/>
        <w:spacing/>
        <w:ind/>
        <w:rPr/>
      </w:pPr>
      <w:r>
        <w:t xml:space="preserve">Доступность Пачки</w:t>
      </w:r>
      <w:r/>
    </w:p>
    <w:p>
      <w:pPr>
        <w:pStyle w:val="1068"/>
        <w:numPr>
          <w:ilvl w:val="0"/>
          <w:numId w:val="0"/>
        </w:numPr>
        <w:pBdr/>
        <w:spacing/>
        <w:ind/>
        <w:rPr/>
      </w:pPr>
      <w:r>
        <w:t xml:space="preserve">Уровень доступности Пачки </w:t>
      </w:r>
      <w:r>
        <w:rPr>
          <w:b/>
        </w:rPr>
        <w:t xml:space="preserve">99,9%</w:t>
      </w:r>
      <w:r>
        <w:t xml:space="preserve"> (SLA). Если Пачка будет недоступна больше времени, то затронутым организациям будет начислена компенсация. </w:t>
      </w:r>
      <w:r/>
    </w:p>
    <w:p>
      <w:pPr>
        <w:pStyle w:val="1068"/>
        <w:numPr>
          <w:ilvl w:val="0"/>
          <w:numId w:val="0"/>
        </w:numPr>
        <w:pBdr/>
        <w:spacing/>
        <w:ind/>
        <w:rPr/>
      </w:pPr>
      <w:r/>
      <w:r/>
    </w:p>
    <w:p>
      <w:pPr>
        <w:pStyle w:val="1020"/>
        <w:numPr>
          <w:ilvl w:val="0"/>
          <w:numId w:val="0"/>
        </w:numPr>
        <w:pBdr/>
        <w:spacing/>
        <w:ind/>
        <w:outlineLvl w:val="2"/>
        <w:rPr/>
      </w:pPr>
      <w:r>
        <w:t xml:space="preserve">Как определяется применимый тип лицензии для организации? </w:t>
      </w:r>
      <w:r/>
    </w:p>
    <w:p>
      <w:pPr>
        <w:pStyle w:val="1068"/>
        <w:numPr>
          <w:ilvl w:val="0"/>
          <w:numId w:val="0"/>
        </w:numPr>
        <w:pBdr/>
        <w:spacing/>
        <w:ind/>
        <w:rPr/>
      </w:pPr>
      <w:r>
        <w:t xml:space="preserve">Тип лицензии организации определяется по количеству лицензий пользователей. Если у организации больше лицензий «Компания», то на всю организацию действует SLA для типа лицензии «Компания».</w:t>
      </w:r>
      <w:r/>
    </w:p>
    <w:p>
      <w:pPr>
        <w:pStyle w:val="1068"/>
        <w:numPr>
          <w:ilvl w:val="0"/>
          <w:numId w:val="0"/>
        </w:numPr>
        <w:pBdr/>
        <w:spacing/>
        <w:ind/>
        <w:rPr/>
      </w:pPr>
      <w:r/>
      <w:r/>
    </w:p>
    <w:p>
      <w:pPr>
        <w:pStyle w:val="988"/>
        <w:numPr>
          <w:ilvl w:val="0"/>
          <w:numId w:val="0"/>
        </w:numPr>
        <w:pBdr/>
        <w:spacing/>
        <w:ind/>
        <w:rPr/>
      </w:pPr>
      <w:r>
        <w:t xml:space="preserve">Разбор понятий SLA</w:t>
      </w:r>
      <w:r/>
    </w:p>
    <w:p>
      <w:pPr>
        <w:pStyle w:val="1068"/>
        <w:numPr>
          <w:ilvl w:val="0"/>
          <w:numId w:val="0"/>
        </w:numPr>
        <w:pBdr/>
        <w:spacing/>
        <w:ind/>
        <w:rPr/>
      </w:pPr>
      <w:r>
        <w:t xml:space="preserve"> «Недоступность Сервиса» – общее количество минут, в которые Пачка была недоступна в отчётный период. Отчётным периодом для SLA является календарный месяц. </w:t>
      </w:r>
      <w:r/>
    </w:p>
    <w:p>
      <w:pPr>
        <w:pStyle w:val="1068"/>
        <w:numPr>
          <w:ilvl w:val="0"/>
          <w:numId w:val="0"/>
        </w:numPr>
        <w:pBdr/>
        <w:spacing/>
        <w:ind/>
        <w:rPr/>
      </w:pPr>
      <w:r/>
      <w:r/>
    </w:p>
    <w:p>
      <w:pPr>
        <w:pStyle w:val="988"/>
        <w:numPr>
          <w:ilvl w:val="0"/>
          <w:numId w:val="0"/>
        </w:numPr>
        <w:pBdr/>
        <w:spacing/>
        <w:ind/>
        <w:rPr/>
      </w:pPr>
      <w:r>
        <w:t xml:space="preserve">Определение недоступности Сервиса</w:t>
      </w:r>
      <w:r/>
    </w:p>
    <w:p>
      <w:pPr>
        <w:pStyle w:val="1068"/>
        <w:numPr>
          <w:ilvl w:val="0"/>
          <w:numId w:val="0"/>
        </w:numPr>
        <w:pBdr/>
        <w:spacing/>
        <w:ind/>
        <w:rPr/>
      </w:pPr>
      <w:r>
        <w:t xml:space="preserve"> «Недоступность Сервиса» фиксируется при недоступности адресов api.pachca.com / app.pachca.com из-за проблем на стороне Пачки.</w:t>
      </w:r>
      <w:r/>
    </w:p>
    <w:p>
      <w:pPr>
        <w:pStyle w:val="1068"/>
        <w:numPr>
          <w:ilvl w:val="0"/>
          <w:numId w:val="0"/>
        </w:numPr>
        <w:pBdr/>
        <w:spacing/>
        <w:ind/>
        <w:rPr/>
      </w:pPr>
      <w:r/>
      <w:r/>
    </w:p>
    <w:p>
      <w:pPr>
        <w:pStyle w:val="988"/>
        <w:numPr>
          <w:ilvl w:val="0"/>
          <w:numId w:val="0"/>
        </w:numPr>
        <w:pBdr/>
        <w:spacing/>
        <w:ind/>
        <w:rPr/>
      </w:pPr>
      <w:r>
        <w:t xml:space="preserve">Ограничение ответственности</w:t>
      </w:r>
      <w:r/>
    </w:p>
    <w:p>
      <w:pPr>
        <w:pStyle w:val="1068"/>
        <w:numPr>
          <w:ilvl w:val="0"/>
          <w:numId w:val="0"/>
        </w:numPr>
        <w:pBdr/>
        <w:spacing/>
        <w:ind/>
        <w:rPr/>
      </w:pPr>
      <w:r>
        <w:t xml:space="preserve">Недоступность сервиса не включает в себя: </w:t>
      </w:r>
      <w:r/>
    </w:p>
    <w:p>
      <w:pPr>
        <w:pStyle w:val="1068"/>
        <w:numPr>
          <w:ilvl w:val="0"/>
          <w:numId w:val="0"/>
        </w:numPr>
        <w:pBdr/>
        <w:spacing/>
        <w:ind/>
        <w:rPr/>
      </w:pPr>
      <w:r>
        <w:t xml:space="preserve">- Недостатки или медлительность работы сервиса с внешними интеграциями.</w:t>
      </w:r>
      <w:r/>
    </w:p>
    <w:p>
      <w:pPr>
        <w:pStyle w:val="1068"/>
        <w:numPr>
          <w:ilvl w:val="0"/>
          <w:numId w:val="0"/>
        </w:numPr>
        <w:pBdr/>
        <w:spacing/>
        <w:ind/>
        <w:rPr/>
      </w:pPr>
      <w:r>
        <w:t xml:space="preserve">- Медленную работу или недоступность отдельных разделов или функций Пачки.</w:t>
      </w:r>
      <w:r/>
    </w:p>
    <w:p>
      <w:pPr>
        <w:pStyle w:val="1068"/>
        <w:numPr>
          <w:ilvl w:val="0"/>
          <w:numId w:val="0"/>
        </w:numPr>
        <w:pBdr/>
        <w:spacing/>
        <w:ind/>
        <w:rPr/>
      </w:pPr>
      <w:r>
        <w:t xml:space="preserve">- Производительность всех функций, помеченных как Бета, альфа или как-то иначе.</w:t>
      </w:r>
      <w:r/>
    </w:p>
    <w:p>
      <w:pPr>
        <w:pStyle w:val="1068"/>
        <w:numPr>
          <w:ilvl w:val="0"/>
          <w:numId w:val="0"/>
        </w:numPr>
        <w:pBdr/>
        <w:spacing/>
        <w:ind/>
        <w:rPr/>
      </w:pPr>
      <w:r>
        <w:t xml:space="preserve">- Проблемы с оборудованием на стороне клиента.</w:t>
      </w:r>
      <w:r/>
    </w:p>
    <w:p>
      <w:pPr>
        <w:pStyle w:val="1068"/>
        <w:numPr>
          <w:ilvl w:val="0"/>
          <w:numId w:val="0"/>
        </w:numPr>
        <w:pBdr/>
        <w:spacing/>
        <w:ind/>
        <w:rPr/>
      </w:pPr>
      <w:r>
        <w:t xml:space="preserve">- Запланированную недоступность.</w:t>
      </w:r>
      <w:r/>
    </w:p>
    <w:p>
      <w:pPr>
        <w:pStyle w:val="1068"/>
        <w:numPr>
          <w:ilvl w:val="0"/>
          <w:numId w:val="0"/>
        </w:numPr>
        <w:pBdr/>
        <w:spacing/>
        <w:ind/>
        <w:rPr/>
      </w:pPr>
      <w:r/>
      <w:r/>
    </w:p>
    <w:p>
      <w:pPr>
        <w:pStyle w:val="988"/>
        <w:numPr>
          <w:ilvl w:val="0"/>
          <w:numId w:val="0"/>
        </w:numPr>
        <w:pBdr/>
        <w:spacing/>
        <w:ind/>
        <w:rPr/>
      </w:pPr>
      <w:r>
        <w:t xml:space="preserve">Как считается % Доступности сервиса?</w:t>
      </w:r>
      <w:r/>
      <w:r/>
    </w:p>
    <w:p w14:paraId="5FFAB559">
      <w:pPr>
        <w:pStyle w:val="940"/>
        <w:numPr>
          <w:ilvl w:val="0"/>
          <w:numId w:val="0"/>
        </w:numPr>
        <w:pBdr/>
        <w:spacing/>
        <w:ind/>
        <w:rPr/>
      </w:pPr>
      <w:r/>
      <w:r/>
      <w:r/>
    </w:p>
    <w:p w14:paraId="05E9E9CC">
      <w:pPr>
        <w:pStyle w:val="940"/>
        <w:numPr>
          <w:ilvl w:val="0"/>
          <w:numId w:val="0"/>
        </w:numPr>
        <w:pBdr/>
        <w:spacing/>
        <w:ind/>
        <w:rPr/>
      </w:pPr>
      <w:r/>
      <w:r/>
      <w:r/>
    </w:p>
    <w:p w14:paraId="3C42FCD5">
      <w:pPr>
        <w:pStyle w:val="940"/>
        <w:numPr>
          <w:ilvl w:val="0"/>
          <w:numId w:val="0"/>
        </w:numPr>
        <w:pBdr/>
        <w:spacing/>
        <w:ind/>
        <w:rPr/>
      </w:pPr>
      <w:r/>
      <m:oMathPara>
        <m:oMathParaPr/>
        <m:oMath>
          <m:f>
            <m:fPr>
              <m:ctrlPr>
                <w:rPr>
                  <w:rFonts w:hint="default" w:ascii="Cambria Math" w:hAnsi="Cambria Math" w:eastAsia="Cambria Math" w:cs="Cambria Math"/>
                  <w:i/>
                  <w:sz w:val="28"/>
                </w:rPr>
              </m:ctrlPr>
            </m:fPr>
            <m:num>
              <m:d>
                <m:dPr>
                  <m:begChr m:val="("/>
                  <m:endChr m:val=")"/>
                  <m:ctrlPr>
                    <w:rPr>
                      <w:rFonts w:ascii="Cambria Math" w:hAnsi="Cambria Math" w:eastAsia="Cambria Math" w:cs="Cambria Math"/>
                      <w:sz w:val="28"/>
                    </w:rPr>
                  </m:ctrlPr>
                </m:dPr>
                <m:e>
                  <m:r>
                    <w:rPr>
                      <w:rFonts w:hint="default" w:ascii="Cambria Math" w:hAnsi="Cambria Math" w:eastAsia="Cambria Math" w:cs="Cambria Math"/>
                      <w:sz w:val="28"/>
                      <w:szCs w:val="28"/>
                    </w:rPr>
                    <m:rPr>
                      <m:sty m:val="i"/>
                    </m:rPr>
                    <m:t>всего минут в отчётном периоде</m:t>
                  </m:r>
                </m:e>
              </m:d>
              <m:r>
                <w:rPr>
                  <w:rFonts w:hint="default" w:ascii="Cambria Math" w:hAnsi="Cambria Math" w:eastAsia="Cambria Math" w:cs="Cambria Math"/>
                  <w:sz w:val="28"/>
                  <w:szCs w:val="28"/>
                </w:rPr>
                <m:rPr/>
                <m:t>- (время недоступности)</m:t>
              </m:r>
            </m:num>
            <m:den>
              <m:r>
                <w:rPr>
                  <w:rFonts w:hint="default" w:ascii="Cambria Math" w:hAnsi="Cambria Math" w:eastAsia="Cambria Math" w:cs="Cambria Math"/>
                  <w:sz w:val="28"/>
                  <w:szCs w:val="28"/>
                </w:rPr>
                <m:rPr>
                  <m:sty m:val="i"/>
                </m:rPr>
                <m:t>(всего минут в отчётном периоде)</m:t>
              </m:r>
            </m:den>
          </m:f>
          <m:r>
            <w:rPr>
              <w:rFonts w:hint="default" w:ascii="Cambria Math" w:hAnsi="Cambria Math" w:eastAsia="Cambria Math" w:cs="Cambria Math"/>
              <w:sz w:val="28"/>
              <w:szCs w:val="28"/>
            </w:rPr>
            <m:rPr>
              <m:sty m:val="i"/>
            </m:rPr>
            <m:t> &gt; 99.9 %</m:t>
          </m:r>
        </m:oMath>
      </m:oMathPara>
      <w:r>
        <w:rPr>
          <w:sz w:val="28"/>
          <w:szCs w:val="28"/>
        </w:rPr>
      </w:r>
      <w:r/>
    </w:p>
    <w:p>
      <w:pPr>
        <w:numPr>
          <w:ilvl w:val="0"/>
          <w:numId w:val="0"/>
        </w:numPr>
        <w:pBdr/>
        <w:spacing/>
        <w:ind/>
        <w:rPr/>
      </w:pPr>
      <w:r/>
      <w:r/>
      <w:r/>
      <w:r/>
    </w:p>
    <w:p>
      <w:pPr>
        <w:numPr>
          <w:ilvl w:val="0"/>
          <w:numId w:val="0"/>
        </w:numPr>
        <w:pBdr/>
        <w:spacing/>
        <w:ind/>
        <w:rPr/>
      </w:pPr>
      <w:r/>
      <w:r/>
    </w:p>
    <w:p>
      <w:pPr>
        <w:pStyle w:val="988"/>
        <w:numPr>
          <w:ilvl w:val="0"/>
          <w:numId w:val="0"/>
        </w:numPr>
        <w:pBdr/>
        <w:spacing/>
        <w:ind/>
        <w:rPr/>
      </w:pPr>
      <w:r>
        <w:t xml:space="preserve">Запланированная недоступность</w:t>
      </w:r>
      <w:r/>
    </w:p>
    <w:p>
      <w:pPr>
        <w:pStyle w:val="1068"/>
        <w:numPr>
          <w:ilvl w:val="0"/>
          <w:numId w:val="0"/>
        </w:numPr>
        <w:pBdr/>
        <w:spacing/>
        <w:ind/>
        <w:rPr/>
      </w:pPr>
      <w:r>
        <w:t xml:space="preserve">В случае уведомления за 48 часов недоступность считается запланированной. Общее время запланированной недоступности не превысит 10 часов в год.</w:t>
      </w:r>
      <w:r/>
    </w:p>
    <w:p>
      <w:pPr>
        <w:numPr>
          <w:ilvl w:val="0"/>
          <w:numId w:val="0"/>
        </w:numPr>
        <w:pBdr/>
        <w:spacing/>
        <w:ind/>
        <w:rPr/>
      </w:pPr>
      <w:r/>
      <w:r/>
    </w:p>
    <w:p>
      <w:pPr>
        <w:pStyle w:val="988"/>
        <w:numPr>
          <w:ilvl w:val="0"/>
          <w:numId w:val="0"/>
        </w:numPr>
        <w:pBdr/>
        <w:spacing/>
        <w:ind/>
        <w:rPr/>
      </w:pPr>
      <w:r>
        <w:t xml:space="preserve">Компенсация</w:t>
      </w:r>
      <w:r/>
    </w:p>
    <w:tbl>
      <w:tblPr>
        <w:tblStyle w:val="1147"/>
        <w:tblW w:w="0" w:type="auto"/>
        <w:tblBorders/>
        <w:tblLayout w:type="fixed"/>
        <w:tblpPr w:horzAnchor="margin" w:tblpXSpec="left" w:vertAnchor="text" w:tblpY="54" w:leftFromText="180" w:topFromText="0" w:rightFromText="180" w:bottomFromText="0"/>
        <w:tblLook w:val="04A0" w:firstRow="1" w:lastRow="0" w:firstColumn="1" w:lastColumn="0" w:noHBand="0" w:noVBand="1"/>
      </w:tblPr>
      <w:tblGrid>
        <w:gridCol w:w="4815"/>
        <w:gridCol w:w="4819"/>
      </w:tblGrid>
      <w:tr>
        <w:trPr>
          <w:trHeight w:val="227"/>
        </w:trPr>
        <w:tc>
          <w:tcPr>
            <w:tcBorders/>
            <w:tcW w:w="4815" w:type="dxa"/>
            <w:textDirection w:val="lrTb"/>
            <w:noWrap w:val="false"/>
          </w:tcPr>
          <w:p>
            <w:pPr>
              <w:widowControl w:val="false"/>
              <w:numPr>
                <w:ilvl w:val="0"/>
                <w:numId w:val="0"/>
              </w:numPr>
              <w:pBdr/>
              <w:tabs>
                <w:tab w:val="left" w:leader="none" w:pos="4820"/>
                <w:tab w:val="left" w:leader="none" w:pos="5812"/>
                <w:tab w:val="left" w:leader="none" w:pos="6804"/>
              </w:tabs>
              <w:spacing w:after="60" w:line="23" w:lineRule="atLeast"/>
              <w:ind/>
              <w:rPr>
                <w:b/>
                <w:color w:val="000000" w:themeColor="text1"/>
              </w:rPr>
            </w:pPr>
            <w:r>
              <w:rPr>
                <w:color w:val="000000" w:themeColor="text1"/>
              </w:rPr>
              <w:t xml:space="preserve">Процент времени доступности за отчетный период</w:t>
            </w:r>
            <w:r>
              <w:rPr>
                <w:b/>
                <w:color w:val="000000" w:themeColor="text1"/>
              </w:rPr>
            </w:r>
            <w:r>
              <w:rPr>
                <w:b/>
                <w:color w:val="000000" w:themeColor="text1"/>
              </w:rPr>
            </w:r>
          </w:p>
        </w:tc>
        <w:tc>
          <w:tcPr>
            <w:tcBorders/>
            <w:tcW w:w="4819" w:type="dxa"/>
            <w:textDirection w:val="lrTb"/>
            <w:noWrap w:val="false"/>
          </w:tcPr>
          <w:p>
            <w:pPr>
              <w:widowControl w:val="false"/>
              <w:numPr>
                <w:ilvl w:val="0"/>
                <w:numId w:val="0"/>
              </w:numPr>
              <w:pBdr/>
              <w:tabs>
                <w:tab w:val="left" w:leader="none" w:pos="4820"/>
                <w:tab w:val="left" w:leader="none" w:pos="5812"/>
                <w:tab w:val="left" w:leader="none" w:pos="6804"/>
              </w:tabs>
              <w:spacing w:after="60" w:line="23" w:lineRule="atLeast"/>
              <w:ind/>
              <w:rPr>
                <w:b/>
                <w:color w:val="000000" w:themeColor="text1"/>
              </w:rPr>
            </w:pPr>
            <w:r>
              <w:rPr>
                <w:color w:val="000000" w:themeColor="text1"/>
              </w:rPr>
              <w:t xml:space="preserve">Компенсация, % от стоимости лицензий Пачки за отчётный период</w:t>
            </w:r>
            <w:r>
              <w:rPr>
                <w:b/>
                <w:color w:val="000000" w:themeColor="text1"/>
              </w:rPr>
            </w:r>
            <w:r>
              <w:rPr>
                <w:b/>
                <w:color w:val="000000" w:themeColor="text1"/>
              </w:rPr>
            </w:r>
          </w:p>
        </w:tc>
      </w:tr>
      <w:tr>
        <w:trPr/>
        <w:tc>
          <w:tcPr>
            <w:tcBorders/>
            <w:tcW w:w="4815"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99,9% – 99%</w:t>
            </w:r>
            <w:r/>
          </w:p>
        </w:tc>
        <w:tc>
          <w:tcPr>
            <w:tcBorders/>
            <w:tcW w:w="4819" w:type="dxa"/>
            <w:textDirection w:val="lrTb"/>
            <w:noWrap w:val="false"/>
          </w:tcPr>
          <w:p>
            <w:pPr>
              <w:widowControl w:val="false"/>
              <w:numPr>
                <w:ilvl w:val="0"/>
                <w:numId w:val="0"/>
              </w:numPr>
              <w:pBdr/>
              <w:spacing w:after="60" w:line="23" w:lineRule="atLeast"/>
              <w:ind w:right="142" w:firstLine="0" w:left="75"/>
              <w:rPr/>
            </w:pPr>
            <w:r>
              <w:t xml:space="preserve">5,0%</w:t>
            </w:r>
            <w:r/>
          </w:p>
        </w:tc>
      </w:tr>
      <w:tr>
        <w:trPr/>
        <w:tc>
          <w:tcPr>
            <w:tcBorders/>
            <w:tcW w:w="4815"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&lt; 99% – 95,0%</w:t>
            </w:r>
            <w:r/>
          </w:p>
        </w:tc>
        <w:tc>
          <w:tcPr>
            <w:tcBorders/>
            <w:tcW w:w="4819" w:type="dxa"/>
            <w:textDirection w:val="lrTb"/>
            <w:noWrap w:val="false"/>
          </w:tcPr>
          <w:p>
            <w:pPr>
              <w:widowControl w:val="false"/>
              <w:numPr>
                <w:ilvl w:val="0"/>
                <w:numId w:val="0"/>
              </w:numPr>
              <w:pBdr/>
              <w:spacing w:after="60" w:line="23" w:lineRule="atLeast"/>
              <w:ind w:right="142" w:firstLine="0" w:left="75"/>
              <w:rPr/>
            </w:pPr>
            <w:r>
              <w:t xml:space="preserve">10,0%</w:t>
            </w:r>
            <w:r/>
          </w:p>
        </w:tc>
      </w:tr>
      <w:tr>
        <w:trPr/>
        <w:tc>
          <w:tcPr>
            <w:tcBorders/>
            <w:tcW w:w="4815"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&lt; 95,0% – 80,0%</w:t>
            </w:r>
            <w:r/>
          </w:p>
        </w:tc>
        <w:tc>
          <w:tcPr>
            <w:tcBorders/>
            <w:tcW w:w="4819" w:type="dxa"/>
            <w:textDirection w:val="lrTb"/>
            <w:noWrap w:val="false"/>
          </w:tcPr>
          <w:p>
            <w:pPr>
              <w:widowControl w:val="false"/>
              <w:numPr>
                <w:ilvl w:val="0"/>
                <w:numId w:val="0"/>
              </w:numPr>
              <w:pBdr/>
              <w:spacing w:after="60" w:line="23" w:lineRule="atLeast"/>
              <w:ind w:right="142" w:firstLine="0" w:left="75"/>
              <w:rPr/>
            </w:pPr>
            <w:r>
              <w:t xml:space="preserve">30,0%</w:t>
            </w:r>
            <w:r/>
          </w:p>
        </w:tc>
      </w:tr>
      <w:tr>
        <w:trPr/>
        <w:tc>
          <w:tcPr>
            <w:tcBorders/>
            <w:tcW w:w="4815"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&lt; 80%</w:t>
            </w:r>
            <w:r/>
          </w:p>
        </w:tc>
        <w:tc>
          <w:tcPr>
            <w:tcBorders/>
            <w:tcW w:w="4819" w:type="dxa"/>
            <w:textDirection w:val="lrTb"/>
            <w:noWrap w:val="false"/>
          </w:tcPr>
          <w:p>
            <w:pPr>
              <w:widowControl w:val="false"/>
              <w:numPr>
                <w:ilvl w:val="0"/>
                <w:numId w:val="0"/>
              </w:numPr>
              <w:pBdr/>
              <w:tabs>
                <w:tab w:val="left" w:leader="none" w:pos="585"/>
              </w:tabs>
              <w:spacing w:after="60" w:line="23" w:lineRule="atLeast"/>
              <w:ind w:right="142" w:firstLine="0" w:left="75"/>
              <w:rPr/>
            </w:pPr>
            <w:r>
              <w:t xml:space="preserve">100,0%</w:t>
            </w:r>
            <w:r/>
          </w:p>
        </w:tc>
      </w:tr>
    </w:tbl>
    <w:p>
      <w:pPr>
        <w:numPr>
          <w:ilvl w:val="0"/>
          <w:numId w:val="0"/>
        </w:numPr>
        <w:pBdr/>
        <w:spacing/>
        <w:ind/>
        <w:rPr/>
      </w:pPr>
      <w:r/>
      <w:r/>
    </w:p>
    <w:p>
      <w:pPr>
        <w:numPr>
          <w:ilvl w:val="0"/>
          <w:numId w:val="0"/>
        </w:numPr>
        <w:pBdr/>
        <w:spacing/>
        <w:ind/>
        <w:rPr/>
      </w:pPr>
      <w:r>
        <w:t xml:space="preserve">База для расчёта компенсации определяется исходя только из активных лицензий Лицензиата с типом «Корпорация» по сост</w:t>
      </w:r>
      <w:r>
        <w:t xml:space="preserve">оя</w:t>
      </w:r>
      <w:r>
        <w:t xml:space="preserve">нию на момент начала «Недоступности Сервиса». Лицензии, являвшиеся неактивными на момент начала Недоступности Сервиса, в базу для расчёта компенсации не включаются. Понятие «активная лицензия» применяется в значении, определённом в основной части Договора.</w:t>
      </w:r>
      <w:r/>
    </w:p>
    <w:p>
      <w:pPr>
        <w:numPr>
          <w:ilvl w:val="0"/>
          <w:numId w:val="0"/>
        </w:numPr>
        <w:pBdr/>
        <w:spacing/>
        <w:ind/>
        <w:rPr/>
      </w:pPr>
      <w:r>
        <w:t xml:space="preserve">Затронутые организации получат компенсацию баллами. Баллы не являются возвратом и не могут быть обменяны на денежные средства. Баллы действительны в течение одного года с момента их получения.</w:t>
      </w:r>
      <w:r/>
    </w:p>
    <w:sectPr>
      <w:headerReference w:type="default" r:id="rId9"/>
      <w:headerReference w:type="even" r:id="rId10"/>
      <w:footerReference w:type="default" r:id="rId11"/>
      <w:footerReference w:type="even" r:id="rId12"/>
      <w:footnotePr/>
      <w:endnotePr/>
      <w:type w:val="nextPage"/>
      <w:pgSz w:h="16838" w:orient="portrait" w:w="11906"/>
      <w:pgMar w:top="1440" w:right="1080" w:bottom="1440" w:left="1080" w:header="567" w:footer="340"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00603000000000000"/>
  </w:font>
  <w:font w:name="Symbol">
    <w:panose1 w:val="05010000000000000000"/>
  </w:font>
  <w:font w:name="Tahoma">
    <w:panose1 w:val="020B0604030504040204"/>
  </w:font>
  <w:font w:name="Wingdings">
    <w:panose1 w:val="05000000000000000000"/>
  </w:font>
  <w:font w:name="Courier New">
    <w:panose1 w:val="02070309020205020404"/>
  </w:font>
  <w:font w:name="TimesET">
    <w:panose1 w:val="00000500000000020000"/>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rPr>
        <w:color w:val="0d0d0d" w:themeColor="text1" w:themeTint="F2"/>
        <w:sz w:val="16"/>
      </w:rPr>
    </w:pPr>
    <w:r>
      <w:rPr>
        <w:color w:val="0d0d0d" w:themeColor="text1" w:themeTint="F2"/>
        <w:sz w:val="16"/>
        <w:lang w:val="ru-RU"/>
      </w:rPr>
      <w:t xml:space="preserve">ООО «Примавера» ИНН 7842383501,</w:t>
    </w:r>
    <w:r>
      <w:rPr>
        <w:color w:val="0d0d0d" w:themeColor="text1" w:themeTint="F2"/>
        <w:sz w:val="16"/>
        <w:lang w:val="ru-RU"/>
      </w:rPr>
      <w:t xml:space="preserve"> </w:t>
    </w:r>
    <w:r>
      <w:rPr>
        <w:color w:val="0d0d0d" w:themeColor="text1" w:themeTint="F2"/>
        <w:sz w:val="16"/>
        <w:lang w:val="ru-RU"/>
      </w:rPr>
      <w:t xml:space="preserve">191015</w:t>
    </w:r>
    <w:r>
      <w:rPr>
        <w:color w:val="0d0d0d" w:themeColor="text1" w:themeTint="F2"/>
        <w:sz w:val="16"/>
        <w:lang w:val="ru-RU"/>
      </w:rPr>
      <w:t xml:space="preserve">, Россия, г. </w:t>
    </w:r>
    <w:r>
      <w:rPr>
        <w:color w:val="0d0d0d" w:themeColor="text1" w:themeTint="F2"/>
        <w:sz w:val="16"/>
        <w:lang w:val="ru-RU"/>
      </w:rPr>
      <w:t xml:space="preserve">Санкт-Петербург</w:t>
    </w:r>
    <w:r>
      <w:rPr>
        <w:color w:val="0d0d0d" w:themeColor="text1" w:themeTint="F2"/>
        <w:sz w:val="16"/>
        <w:lang w:val="ru-RU"/>
      </w:rPr>
      <w:t xml:space="preserve">, ул. </w:t>
    </w:r>
    <w:r>
      <w:rPr>
        <w:color w:val="0d0d0d" w:themeColor="text1" w:themeTint="F2"/>
        <w:sz w:val="16"/>
        <w:lang w:val="ru-RU"/>
      </w:rPr>
      <w:t xml:space="preserve">Таврическая</w:t>
    </w:r>
    <w:r>
      <w:rPr>
        <w:color w:val="0d0d0d" w:themeColor="text1" w:themeTint="F2"/>
        <w:sz w:val="16"/>
        <w:lang w:val="ru-RU"/>
      </w:rPr>
      <w:t xml:space="preserve">, д. </w:t>
    </w:r>
    <w:r>
      <w:rPr>
        <w:color w:val="0d0d0d" w:themeColor="text1" w:themeTint="F2"/>
        <w:sz w:val="16"/>
        <w:lang w:val="ru-RU"/>
      </w:rPr>
      <w:t xml:space="preserve">27 -55</w:t>
    </w:r>
    <w:r>
      <w:rPr>
        <w:color w:val="0d0d0d" w:themeColor="text1" w:themeTint="F2"/>
        <w:sz w:val="16"/>
      </w:rPr>
    </w:r>
    <w:r>
      <w:rPr>
        <w:color w:val="0d0d0d" w:themeColor="text1" w:themeTint="F2"/>
        <w:sz w:val="16"/>
      </w:rPr>
    </w:r>
  </w:p>
  <w:p>
    <w:pPr>
      <w:pStyle w:val="1136"/>
      <w:pBdr/>
      <w:tabs>
        <w:tab w:val="left" w:leader="none" w:pos="1976"/>
        <w:tab w:val="center" w:leader="none" w:pos="4677"/>
        <w:tab w:val="right" w:leader="none" w:pos="8312"/>
        <w:tab w:val="right" w:leader="none" w:pos="9355"/>
      </w:tabs>
      <w:spacing/>
      <w:ind/>
      <w:jc w:val="center"/>
      <w:rPr>
        <w:sz w:val="16"/>
      </w:rPr>
    </w:pPr>
    <w:r>
      <w:rPr>
        <w:sz w:val="16"/>
        <w:lang w:val="ru-RU"/>
      </w:rPr>
    </w:r>
    <w:r>
      <w:rPr>
        <w:sz w:val="16"/>
      </w:rPr>
    </w:r>
    <w:r>
      <w:rPr>
        <w:sz w:val="16"/>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6"/>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2"/>
      <w:pBdr/>
      <w:spacing/>
      <w:ind/>
      <w:jc w:val="right"/>
      <w:rPr/>
    </w:pPr>
    <w:r>
      <w:drawing xmlns:w="http://schemas.openxmlformats.org/wordprocessingml/2006/main" xmlns:r="http://schemas.openxmlformats.org/officeDocument/2006/relationships">
        <wp:inline xmlns:wp="http://schemas.openxmlformats.org/drawingml/2006/wordprocessingDrawing" xmlns:a="http://schemas.openxmlformats.org/drawingml/2006/main" xmlns:pic="http://schemas.openxmlformats.org/drawingml/2006/picture" distT="0" distB="0" distL="0" distR="0">
          <wp:extent cx="713362" cy="258385"/>
          <wp:effectExtent l="0" t="0" r="0" b="0"/>
          <wp:docPr id="1" name="Pachca logo" descr="Pachca"/>
          <wp:cNvGraphicFramePr>
            <a:graphicFrameLocks noChangeAspect="1"/>
          </wp:cNvGraphicFramePr>
          <a:graphic>
            <a:graphicData uri="http://schemas.openxmlformats.org/drawingml/2006/picture">
              <pic:pic>
                <pic:nvPicPr>
                  <pic:cNvPr id="0" name="image1.png"/>
                  <pic:cNvPicPr/>
                </pic:nvPicPr>
                <pic:blipFill>
                  <a:blip r:embed="rId1"/>
                  <a:stretch>
                    <a:fillRect/>
                  </a:stretch>
                </pic:blipFill>
                <pic:spPr>
                  <a:xfrm>
                    <a:off x="0" y="0"/>
                    <a:ext cx="713362" cy="258385"/>
                  </a:xfrm>
                  <a:prstGeom prst="rect">
                    <a:avLst/>
                  </a:prstGeom>
                </pic:spPr>
              </pic:pic>
            </a:graphicData>
          </a:graphic>
        </wp:inline>
      </w:drawing>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2"/>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tabs>
          <w:tab w:val="left" w:leader="none" w:pos="360"/>
        </w:tabs>
        <w:spacing/>
        <w:ind w:firstLine="0" w:left="0"/>
      </w:pPr>
      <w:pStyle w:val="1132"/>
      <w:rPr/>
      <w:start w:val="1"/>
      <w:suff w:val="tab"/>
    </w:lvl>
    <w:lvl w:ilvl="1">
      <w:isLgl w:val="false"/>
      <w:lvlJc w:val="left"/>
      <w:lvlText w:val="%1.%2."/>
      <w:numFmt w:val="decimal"/>
      <w:pPr>
        <w:pBdr/>
        <w:tabs>
          <w:tab w:val="num" w:leader="none" w:pos="567"/>
        </w:tabs>
        <w:spacing/>
        <w:ind w:firstLine="0" w:left="0"/>
      </w:pPr>
      <w:rPr>
        <w:b w:val="0"/>
        <w:sz w:val="22"/>
      </w:rPr>
      <w:start w:val="1"/>
      <w:suff w:val="tab"/>
    </w:lvl>
    <w:lvl w:ilvl="2">
      <w:isLgl w:val="false"/>
      <w:lvlJc w:val="left"/>
      <w:lvlText w:val="%1.%2.%3."/>
      <w:numFmt w:val="decimal"/>
      <w:pPr>
        <w:pBdr/>
        <w:tabs>
          <w:tab w:val="num" w:leader="none" w:pos="1134"/>
        </w:tabs>
        <w:spacing/>
        <w:ind w:firstLine="0" w:left="567"/>
      </w:pPr>
      <w:rPr/>
      <w:start w:val="1"/>
      <w:suff w:val="tab"/>
    </w:lvl>
    <w:lvl w:ilvl="3">
      <w:isLgl w:val="false"/>
      <w:lvlJc w:val="left"/>
      <w:lvlText w:val="%1.%2.%3.%4."/>
      <w:numFmt w:val="decimal"/>
      <w:pPr>
        <w:pBdr/>
        <w:tabs>
          <w:tab w:val="num" w:leader="none" w:pos="1701"/>
        </w:tabs>
        <w:spacing/>
        <w:ind w:hanging="567" w:left="1701"/>
      </w:pPr>
      <w:rPr/>
      <w:start w:val="1"/>
      <w:suff w:val="tab"/>
    </w:lvl>
    <w:lvl w:ilvl="4">
      <w:isLgl w:val="false"/>
      <w:lvlJc w:val="left"/>
      <w:lvlText w:val="%1.%2.%3.%4.%5."/>
      <w:numFmt w:val="decimal"/>
      <w:pPr>
        <w:pBdr/>
        <w:tabs>
          <w:tab w:val="left" w:leader="none" w:pos="1080"/>
        </w:tabs>
        <w:spacing/>
        <w:ind w:hanging="1080" w:left="1080"/>
      </w:pPr>
      <w:rPr/>
      <w:start w:val="1"/>
      <w:suff w:val="tab"/>
    </w:lvl>
    <w:lvl w:ilvl="5">
      <w:isLgl w:val="false"/>
      <w:lvlJc w:val="left"/>
      <w:lvlText w:val="%1.%2.%3.%4.%5.%6."/>
      <w:numFmt w:val="decimal"/>
      <w:pPr>
        <w:pBdr/>
        <w:tabs>
          <w:tab w:val="left" w:leader="none" w:pos="1080"/>
        </w:tabs>
        <w:spacing/>
        <w:ind w:hanging="1080" w:left="1080"/>
      </w:pPr>
      <w:rPr/>
      <w:start w:val="1"/>
      <w:suff w:val="tab"/>
    </w:lvl>
    <w:lvl w:ilvl="6">
      <w:isLgl w:val="false"/>
      <w:lvlJc w:val="left"/>
      <w:lvlText w:val="%1.%2.%3.%4.%5.%6.%7."/>
      <w:numFmt w:val="decimal"/>
      <w:pPr>
        <w:pBdr/>
        <w:tabs>
          <w:tab w:val="left" w:leader="none" w:pos="1440"/>
        </w:tabs>
        <w:spacing/>
        <w:ind w:hanging="1440" w:left="1440"/>
      </w:pPr>
      <w:rPr/>
      <w:start w:val="1"/>
      <w:suff w:val="tab"/>
    </w:lvl>
    <w:lvl w:ilvl="7">
      <w:isLgl w:val="false"/>
      <w:lvlJc w:val="left"/>
      <w:lvlText w:val="%1.%2.%3.%4.%5.%6.%7.%8."/>
      <w:numFmt w:val="decimal"/>
      <w:pPr>
        <w:pBdr/>
        <w:tabs>
          <w:tab w:val="left" w:leader="none" w:pos="1440"/>
        </w:tabs>
        <w:spacing/>
        <w:ind w:hanging="1440" w:left="1440"/>
      </w:pPr>
      <w:rPr/>
      <w:start w:val="1"/>
      <w:suff w:val="tab"/>
    </w:lvl>
    <w:lvl w:ilvl="8">
      <w:isLgl w:val="false"/>
      <w:lvlJc w:val="left"/>
      <w:lvlText w:val="%1.%2.%3.%4.%5.%6.%7.%8.%9."/>
      <w:numFmt w:val="decimal"/>
      <w:pPr>
        <w:pBdr/>
        <w:tabs>
          <w:tab w:val="left" w:leader="none" w:pos="1800"/>
        </w:tabs>
        <w:spacing/>
        <w:ind w:hanging="1800" w:left="1800"/>
      </w:pPr>
      <w:rPr/>
      <w:start w:val="1"/>
      <w:suff w:val="tab"/>
    </w:lvl>
  </w:abstractNum>
  <w:abstractNum w:abstractNumId="1">
    <w:lvl w:ilvl="0">
      <w:isLgl w:val="false"/>
      <w:lvlJc w:val="left"/>
      <w:lvlText w:val=""/>
      <w:numFmt w:val="bullet"/>
      <w:pPr>
        <w:pBdr/>
        <w:tabs>
          <w:tab w:val="left" w:leader="none" w:pos="1080"/>
        </w:tabs>
        <w:spacing/>
        <w:ind w:firstLine="720" w:left="0"/>
      </w:pPr>
      <w:pStyle w:val="998"/>
      <w:rPr>
        <w:rFonts w:ascii="Symbol" w:hAnsi="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
    <w:lvl w:ilvl="0">
      <w:isLgl w:val="false"/>
      <w:lvlJc w:val="left"/>
      <w:lvlText w:val="%1"/>
      <w:numFmt w:val="decimal"/>
      <w:pPr>
        <w:pBdr/>
        <w:tabs>
          <w:tab w:val="left" w:leader="none" w:pos="720"/>
        </w:tabs>
        <w:spacing/>
        <w:ind w:hanging="720" w:left="720"/>
      </w:pPr>
      <w:pStyle w:val="1014"/>
      <w:rPr>
        <w:i w:val="0"/>
      </w:rPr>
      <w:start w:val="1"/>
      <w:suff w:val="tab"/>
    </w:lvl>
    <w:lvl w:ilvl="1">
      <w:isLgl w:val="false"/>
      <w:lvlJc w:val="left"/>
      <w:lvlText w:val="%1.%2"/>
      <w:numFmt w:val="decimal"/>
      <w:pPr>
        <w:pBdr/>
        <w:tabs>
          <w:tab w:val="left" w:leader="none" w:pos="798"/>
        </w:tabs>
        <w:spacing/>
        <w:ind w:hanging="720" w:left="798"/>
      </w:pPr>
      <w:pStyle w:val="1006"/>
      <w:rPr>
        <w:b w:val="0"/>
        <w:i w:val="0"/>
        <w:caps w:val="0"/>
        <w:smallCaps w:val="0"/>
        <w:strike w:val="0"/>
        <w:color w:val="000000"/>
        <w:spacing w:val="0"/>
        <w:u w:val="none"/>
      </w:rPr>
      <w:start w:val="1"/>
      <w:suff w:val="tab"/>
    </w:lvl>
    <w:lvl w:ilvl="2">
      <w:isLgl w:val="false"/>
      <w:lvlJc w:val="left"/>
      <w:lvlText w:val="%1.%2.%3"/>
      <w:numFmt w:val="decimal"/>
      <w:pPr>
        <w:pBdr/>
        <w:tabs>
          <w:tab w:val="left" w:leader="none" w:pos="1430"/>
        </w:tabs>
        <w:spacing/>
        <w:ind w:hanging="720" w:left="1430"/>
      </w:pPr>
      <w:pStyle w:val="1042"/>
      <w:rPr>
        <w:b w:val="0"/>
      </w:rPr>
      <w:start w:val="1"/>
      <w:suff w:val="tab"/>
    </w:lvl>
    <w:lvl w:ilvl="3">
      <w:isLgl w:val="false"/>
      <w:lvlJc w:val="left"/>
      <w:lvlText w:val="%4)"/>
      <w:numFmt w:val="lowerLetter"/>
      <w:pPr>
        <w:pBdr/>
        <w:tabs>
          <w:tab w:val="left" w:leader="none" w:pos="2160"/>
        </w:tabs>
        <w:spacing/>
        <w:ind w:hanging="720" w:left="2160"/>
      </w:pPr>
      <w:pStyle w:val="1052"/>
      <w:rPr/>
      <w:start w:val="1"/>
      <w:suff w:val="tab"/>
    </w:lvl>
    <w:lvl w:ilvl="4">
      <w:isLgl w:val="false"/>
      <w:lvlJc w:val="left"/>
      <w:lvlText w:val="%5"/>
      <w:numFmt w:val="lowerRoman"/>
      <w:pPr>
        <w:pBdr/>
        <w:tabs>
          <w:tab w:val="left" w:leader="none" w:pos="2880"/>
        </w:tabs>
        <w:spacing/>
        <w:ind w:hanging="720" w:left="2880"/>
      </w:pPr>
      <w:pStyle w:val="1144"/>
      <w:rPr/>
      <w:start w:val="1"/>
      <w:suff w:val="tab"/>
    </w:lvl>
    <w:lvl w:ilvl="5">
      <w:isLgl w:val="false"/>
      <w:lvlJc w:val="left"/>
      <w:lvlText w:val=""/>
      <w:numFmt w:val="decimal"/>
      <w:pPr>
        <w:pBdr/>
        <w:spacing/>
        <w:ind w:firstLine="0" w:left="0"/>
      </w:pPr>
      <w:pStyle w:val="1008"/>
      <w:rPr/>
      <w:start w:val="1"/>
      <w:suff w:val="tab"/>
    </w:lvl>
    <w:lvl w:ilvl="6">
      <w:isLgl w:val="false"/>
      <w:lvlJc w:val="left"/>
      <w:lvlText w:val=""/>
      <w:numFmt w:val="decimal"/>
      <w:pPr>
        <w:pBdr/>
        <w:spacing/>
        <w:ind w:firstLine="0" w:left="0"/>
      </w:pPr>
      <w:rPr/>
      <w:start w:val="1"/>
      <w:suff w:val="tab"/>
    </w:lvl>
    <w:lvl w:ilvl="7">
      <w:isLgl w:val="false"/>
      <w:lvlJc w:val="left"/>
      <w:lvlText w:val=""/>
      <w:numFmt w:val="decimal"/>
      <w:pPr>
        <w:pBdr/>
        <w:spacing/>
        <w:ind w:firstLine="0" w:left="0"/>
      </w:pPr>
      <w:rPr/>
      <w:start w:val="1"/>
      <w:suff w:val="tab"/>
    </w:lvl>
    <w:lvl w:ilvl="8">
      <w:isLgl w:val="false"/>
      <w:lvlJc w:val="left"/>
      <w:lvlText w:val=""/>
      <w:numFmt w:val="decimal"/>
      <w:pPr>
        <w:pBdr/>
        <w:spacing/>
        <w:ind w:firstLine="0" w:left="0"/>
      </w:pPr>
      <w:rPr/>
      <w:start w:val="1"/>
      <w:suff w:val="tab"/>
    </w:lvl>
  </w:abstractNum>
  <w:abstractNum w:abstractNumId="3">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ru-RU" w:eastAsia="ru-RU"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87">
    <w:name w:val="Intense Emphasis"/>
    <w:basedOn w:val="1037"/>
    <w:uiPriority w:val="21"/>
    <w:qFormat/>
    <w:pPr>
      <w:pBdr/>
      <w:spacing/>
      <w:ind/>
    </w:pPr>
    <w:rPr>
      <w:i/>
      <w:iCs/>
      <w:color w:val="0f4761" w:themeColor="accent1" w:themeShade="BF"/>
    </w:rPr>
  </w:style>
  <w:style w:type="character" w:styleId="788">
    <w:name w:val="Intense Reference"/>
    <w:basedOn w:val="1037"/>
    <w:uiPriority w:val="32"/>
    <w:qFormat/>
    <w:pPr>
      <w:pBdr/>
      <w:spacing/>
      <w:ind/>
    </w:pPr>
    <w:rPr>
      <w:b/>
      <w:bCs/>
      <w:smallCaps/>
      <w:color w:val="0f4761" w:themeColor="accent1" w:themeShade="BF"/>
      <w:spacing w:val="5"/>
    </w:rPr>
  </w:style>
  <w:style w:type="character" w:styleId="789">
    <w:name w:val="Subtle Emphasis"/>
    <w:basedOn w:val="1037"/>
    <w:uiPriority w:val="19"/>
    <w:qFormat/>
    <w:pPr>
      <w:pBdr/>
      <w:spacing/>
      <w:ind/>
    </w:pPr>
    <w:rPr>
      <w:i/>
      <w:iCs/>
      <w:color w:val="404040" w:themeColor="text1" w:themeTint="BF"/>
    </w:rPr>
  </w:style>
  <w:style w:type="character" w:styleId="790">
    <w:name w:val="Subtle Reference"/>
    <w:basedOn w:val="1037"/>
    <w:uiPriority w:val="31"/>
    <w:qFormat/>
    <w:pPr>
      <w:pBdr/>
      <w:spacing/>
      <w:ind/>
    </w:pPr>
    <w:rPr>
      <w:smallCaps/>
      <w:color w:val="5a5a5a" w:themeColor="text1" w:themeTint="A5"/>
    </w:rPr>
  </w:style>
  <w:style w:type="character" w:styleId="791">
    <w:name w:val="Book Title"/>
    <w:basedOn w:val="1037"/>
    <w:uiPriority w:val="33"/>
    <w:qFormat/>
    <w:pPr>
      <w:pBdr/>
      <w:spacing/>
      <w:ind/>
    </w:pPr>
    <w:rPr>
      <w:b/>
      <w:bCs/>
      <w:i/>
      <w:iCs/>
      <w:spacing w:val="5"/>
    </w:rPr>
  </w:style>
  <w:style w:type="character" w:styleId="792">
    <w:name w:val="Placeholder Text"/>
    <w:basedOn w:val="1037"/>
    <w:uiPriority w:val="99"/>
    <w:semiHidden/>
    <w:pPr>
      <w:pBdr/>
      <w:spacing/>
      <w:ind/>
    </w:pPr>
    <w:rPr>
      <w:color w:val="666666"/>
    </w:rPr>
  </w:style>
  <w:style w:type="character" w:styleId="793">
    <w:name w:val="Heading 1 Char"/>
    <w:basedOn w:val="1037"/>
    <w:link w:val="1035"/>
    <w:uiPriority w:val="9"/>
    <w:pPr>
      <w:pBdr/>
      <w:spacing/>
      <w:ind/>
    </w:pPr>
    <w:rPr>
      <w:rFonts w:ascii="Arial" w:hAnsi="Arial" w:eastAsia="Arial" w:cs="Arial"/>
      <w:sz w:val="40"/>
      <w:szCs w:val="40"/>
    </w:rPr>
  </w:style>
  <w:style w:type="character" w:styleId="794">
    <w:name w:val="Heading 2 Char"/>
    <w:basedOn w:val="1037"/>
    <w:link w:val="1133"/>
    <w:uiPriority w:val="9"/>
    <w:pPr>
      <w:pBdr/>
      <w:spacing/>
      <w:ind/>
    </w:pPr>
    <w:rPr>
      <w:rFonts w:ascii="Arial" w:hAnsi="Arial" w:eastAsia="Arial" w:cs="Arial"/>
      <w:sz w:val="34"/>
    </w:rPr>
  </w:style>
  <w:style w:type="character" w:styleId="795">
    <w:name w:val="Heading 3 Char"/>
    <w:basedOn w:val="1037"/>
    <w:link w:val="989"/>
    <w:uiPriority w:val="9"/>
    <w:pPr>
      <w:pBdr/>
      <w:spacing/>
      <w:ind/>
    </w:pPr>
    <w:rPr>
      <w:rFonts w:ascii="Arial" w:hAnsi="Arial" w:eastAsia="Arial" w:cs="Arial"/>
      <w:sz w:val="30"/>
      <w:szCs w:val="30"/>
    </w:rPr>
  </w:style>
  <w:style w:type="character" w:styleId="796">
    <w:name w:val="Heading 4 Char"/>
    <w:basedOn w:val="1037"/>
    <w:link w:val="1125"/>
    <w:uiPriority w:val="9"/>
    <w:pPr>
      <w:pBdr/>
      <w:spacing/>
      <w:ind/>
    </w:pPr>
    <w:rPr>
      <w:rFonts w:ascii="Arial" w:hAnsi="Arial" w:eastAsia="Arial" w:cs="Arial"/>
      <w:b/>
      <w:bCs/>
      <w:sz w:val="26"/>
      <w:szCs w:val="26"/>
    </w:rPr>
  </w:style>
  <w:style w:type="character" w:styleId="797">
    <w:name w:val="Heading 5 Char"/>
    <w:basedOn w:val="1037"/>
    <w:link w:val="1029"/>
    <w:uiPriority w:val="9"/>
    <w:pPr>
      <w:pBdr/>
      <w:spacing/>
      <w:ind/>
    </w:pPr>
    <w:rPr>
      <w:rFonts w:ascii="Arial" w:hAnsi="Arial" w:eastAsia="Arial" w:cs="Arial"/>
      <w:b/>
      <w:bCs/>
      <w:sz w:val="24"/>
      <w:szCs w:val="24"/>
    </w:rPr>
  </w:style>
  <w:style w:type="character" w:styleId="798">
    <w:name w:val="Heading 6 Char"/>
    <w:basedOn w:val="1037"/>
    <w:link w:val="1141"/>
    <w:uiPriority w:val="9"/>
    <w:pPr>
      <w:pBdr/>
      <w:spacing/>
      <w:ind/>
    </w:pPr>
    <w:rPr>
      <w:rFonts w:ascii="Arial" w:hAnsi="Arial" w:eastAsia="Arial" w:cs="Arial"/>
      <w:b/>
      <w:bCs/>
      <w:sz w:val="22"/>
      <w:szCs w:val="22"/>
    </w:rPr>
  </w:style>
  <w:style w:type="character" w:styleId="799">
    <w:name w:val="Heading 7 Char"/>
    <w:basedOn w:val="1037"/>
    <w:link w:val="963"/>
    <w:uiPriority w:val="9"/>
    <w:pPr>
      <w:pBdr/>
      <w:spacing/>
      <w:ind/>
    </w:pPr>
    <w:rPr>
      <w:rFonts w:ascii="Arial" w:hAnsi="Arial" w:eastAsia="Arial" w:cs="Arial"/>
      <w:b/>
      <w:bCs/>
      <w:i/>
      <w:iCs/>
      <w:sz w:val="22"/>
      <w:szCs w:val="22"/>
    </w:rPr>
  </w:style>
  <w:style w:type="character" w:styleId="800">
    <w:name w:val="Heading 8 Char"/>
    <w:basedOn w:val="1037"/>
    <w:link w:val="1051"/>
    <w:uiPriority w:val="9"/>
    <w:pPr>
      <w:pBdr/>
      <w:spacing/>
      <w:ind/>
    </w:pPr>
    <w:rPr>
      <w:rFonts w:ascii="Arial" w:hAnsi="Arial" w:eastAsia="Arial" w:cs="Arial"/>
      <w:i/>
      <w:iCs/>
      <w:sz w:val="22"/>
      <w:szCs w:val="22"/>
    </w:rPr>
  </w:style>
  <w:style w:type="character" w:styleId="801">
    <w:name w:val="Heading 9 Char"/>
    <w:basedOn w:val="1037"/>
    <w:link w:val="995"/>
    <w:uiPriority w:val="9"/>
    <w:pPr>
      <w:pBdr/>
      <w:spacing/>
      <w:ind/>
    </w:pPr>
    <w:rPr>
      <w:rFonts w:ascii="Arial" w:hAnsi="Arial" w:eastAsia="Arial" w:cs="Arial"/>
      <w:i/>
      <w:iCs/>
      <w:sz w:val="21"/>
      <w:szCs w:val="21"/>
    </w:rPr>
  </w:style>
  <w:style w:type="character" w:styleId="802">
    <w:name w:val="Title Char"/>
    <w:basedOn w:val="1037"/>
    <w:link w:val="1121"/>
    <w:uiPriority w:val="10"/>
    <w:pPr>
      <w:pBdr/>
      <w:spacing/>
      <w:ind/>
    </w:pPr>
    <w:rPr>
      <w:sz w:val="48"/>
      <w:szCs w:val="48"/>
    </w:rPr>
  </w:style>
  <w:style w:type="character" w:styleId="803">
    <w:name w:val="Subtitle Char"/>
    <w:basedOn w:val="1037"/>
    <w:link w:val="1115"/>
    <w:uiPriority w:val="11"/>
    <w:pPr>
      <w:pBdr/>
      <w:spacing/>
      <w:ind/>
    </w:pPr>
    <w:rPr>
      <w:sz w:val="24"/>
      <w:szCs w:val="24"/>
    </w:rPr>
  </w:style>
  <w:style w:type="paragraph" w:styleId="804">
    <w:name w:val="Quote"/>
    <w:basedOn w:val="941"/>
    <w:next w:val="941"/>
    <w:link w:val="805"/>
    <w:uiPriority w:val="29"/>
    <w:qFormat/>
    <w:pPr>
      <w:pBdr/>
      <w:spacing/>
      <w:ind w:right="720" w:left="720"/>
    </w:pPr>
    <w:rPr>
      <w:i/>
    </w:rPr>
  </w:style>
  <w:style w:type="character" w:styleId="805">
    <w:name w:val="Quote Char"/>
    <w:link w:val="804"/>
    <w:uiPriority w:val="29"/>
    <w:pPr>
      <w:pBdr/>
      <w:spacing/>
      <w:ind/>
    </w:pPr>
    <w:rPr>
      <w:i/>
    </w:rPr>
  </w:style>
  <w:style w:type="paragraph" w:styleId="806">
    <w:name w:val="Intense Quote"/>
    <w:basedOn w:val="941"/>
    <w:next w:val="941"/>
    <w:link w:val="807"/>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807">
    <w:name w:val="Intense Quote Char"/>
    <w:link w:val="806"/>
    <w:uiPriority w:val="30"/>
    <w:pPr>
      <w:pBdr/>
      <w:spacing/>
      <w:ind/>
    </w:pPr>
    <w:rPr>
      <w:i/>
    </w:rPr>
  </w:style>
  <w:style w:type="character" w:styleId="808">
    <w:name w:val="Header Char"/>
    <w:basedOn w:val="1037"/>
    <w:link w:val="1063"/>
    <w:uiPriority w:val="99"/>
    <w:pPr>
      <w:pBdr/>
      <w:spacing/>
      <w:ind/>
    </w:pPr>
  </w:style>
  <w:style w:type="character" w:styleId="809">
    <w:name w:val="Footer Char"/>
    <w:basedOn w:val="1037"/>
    <w:link w:val="1137"/>
    <w:uiPriority w:val="99"/>
    <w:pPr>
      <w:pBdr/>
      <w:spacing/>
      <w:ind/>
    </w:pPr>
  </w:style>
  <w:style w:type="character" w:styleId="810">
    <w:name w:val="Caption Char"/>
    <w:basedOn w:val="1037"/>
    <w:link w:val="1135"/>
    <w:uiPriority w:val="35"/>
    <w:pPr>
      <w:pBdr/>
      <w:spacing/>
      <w:ind/>
    </w:pPr>
    <w:rPr>
      <w:b/>
      <w:bCs/>
      <w:color w:val="4f81bd" w:themeColor="accent1"/>
      <w:sz w:val="18"/>
      <w:szCs w:val="18"/>
    </w:rPr>
  </w:style>
  <w:style w:type="table" w:styleId="811">
    <w:name w:val="Table Grid Light"/>
    <w:basedOn w:val="115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Plain Table 1"/>
    <w:basedOn w:val="115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Plain Table 2"/>
    <w:basedOn w:val="115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Plain Table 4"/>
    <w:basedOn w:val="115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Plain Table 5"/>
    <w:basedOn w:val="115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1"/>
    <w:basedOn w:val="115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2"/>
    <w:basedOn w:val="115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3"/>
    <w:basedOn w:val="115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1 Light - Accent 4"/>
    <w:basedOn w:val="115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1 Light - Accent 5"/>
    <w:basedOn w:val="115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1 Light - Accent 6"/>
    <w:basedOn w:val="115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w:basedOn w:val="115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1"/>
    <w:basedOn w:val="115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2"/>
    <w:basedOn w:val="115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3"/>
    <w:basedOn w:val="115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2 - Accent 4"/>
    <w:basedOn w:val="115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2 - Accent 5"/>
    <w:basedOn w:val="115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2 - Accent 6"/>
    <w:basedOn w:val="115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w:basedOn w:val="115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1"/>
    <w:basedOn w:val="115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2"/>
    <w:basedOn w:val="115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3"/>
    <w:basedOn w:val="115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3 - Accent 4"/>
    <w:basedOn w:val="115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3 - Accent 5"/>
    <w:basedOn w:val="115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3 - Accent 6"/>
    <w:basedOn w:val="115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w:basedOn w:val="115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1"/>
    <w:basedOn w:val="115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2"/>
    <w:basedOn w:val="115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3"/>
    <w:basedOn w:val="115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4 - Accent 4"/>
    <w:basedOn w:val="115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4 - Accent 5"/>
    <w:basedOn w:val="115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4 - Accent 6"/>
    <w:basedOn w:val="115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w:basedOn w:val="11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Accent 1"/>
    <w:basedOn w:val="11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cPr>
      <w:tcBorders/>
    </w:tcPr>
    <w:tblStylePr w:type="band1Horz">
      <w:pPr>
        <w:pBdr/>
        <w:spacing/>
        <w:ind/>
      </w:pPr>
      <w:tblPr>
        <w:tblBorders/>
      </w:tblPr>
      <w:tcPr>
        <w:shd w:val="clear" w:color="ffffff" w:themeColor="accent1" w:themeTint="75" w:fill="aabfe3" w:themeFill="accent1" w:themeFillTint="75"/>
        <w:tcBorders/>
      </w:tcPr>
    </w:tblStylePr>
    <w:tblStylePr w:type="band1Vert">
      <w:pPr>
        <w:pBdr/>
        <w:spacing/>
        <w:ind/>
      </w:pPr>
      <w:tblPr>
        <w:tblBorders/>
      </w:tblPr>
      <w:tcPr>
        <w:shd w:val="clear" w:color="ffffff" w:themeColor="accent1" w:themeTint="75" w:fill="aabfe3"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2"/>
    <w:basedOn w:val="11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cPr>
      <w:tcBorders/>
    </w:tcPr>
    <w:tblStylePr w:type="band1Horz">
      <w:pPr>
        <w:pBdr/>
        <w:spacing/>
        <w:ind/>
      </w:pPr>
      <w:tblPr>
        <w:tblBorders/>
      </w:tblPr>
      <w:tcPr>
        <w:shd w:val="clear" w:color="ffffff" w:themeColor="accent2" w:themeTint="75" w:fill="f6c3a1" w:themeFill="accent2" w:themeFillTint="75"/>
        <w:tcBorders/>
      </w:tcPr>
    </w:tblStylePr>
    <w:tblStylePr w:type="band1Vert">
      <w:pPr>
        <w:pBdr/>
        <w:spacing/>
        <w:ind/>
      </w:pPr>
      <w:tblPr>
        <w:tblBorders/>
      </w:tblPr>
      <w:tcPr>
        <w:shd w:val="clear" w:color="ffffff" w:themeColor="accent2" w:themeTint="75" w:fill="f6c3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 Accent 3"/>
    <w:basedOn w:val="11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5 Dark- Accent 4"/>
    <w:basedOn w:val="11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cPr>
      <w:tcBorders/>
    </w:tcPr>
    <w:tblStylePr w:type="band1Horz">
      <w:pPr>
        <w:pBdr/>
        <w:spacing/>
        <w:ind/>
      </w:pPr>
      <w:tblPr>
        <w:tblBorders/>
      </w:tblPr>
      <w:tcPr>
        <w:shd w:val="clear" w:color="ffffff" w:themeColor="accent4" w:themeTint="75" w:fill="fee189" w:themeFill="accent4" w:themeFillTint="75"/>
        <w:tcBorders/>
      </w:tcPr>
    </w:tblStylePr>
    <w:tblStylePr w:type="band1Vert">
      <w:pPr>
        <w:pBdr/>
        <w:spacing/>
        <w:ind/>
      </w:pPr>
      <w:tblPr>
        <w:tblBorders/>
      </w:tblPr>
      <w:tcPr>
        <w:shd w:val="clear" w:color="ffffff" w:themeColor="accent4" w:themeTint="75" w:fill="fee189"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5 Dark - Accent 5"/>
    <w:basedOn w:val="11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cPr>
      <w:tcBorders/>
    </w:tcPr>
    <w:tblStylePr w:type="band1Horz">
      <w:pPr>
        <w:pBdr/>
        <w:spacing/>
        <w:ind/>
      </w:pPr>
      <w:tblPr>
        <w:tblBorders/>
      </w:tblPr>
      <w:tcPr>
        <w:shd w:val="clear" w:color="ffffff" w:themeColor="accent5" w:themeTint="75" w:fill="b4d2eb" w:themeFill="accent5" w:themeFillTint="75"/>
        <w:tcBorders/>
      </w:tcPr>
    </w:tblStylePr>
    <w:tblStylePr w:type="band1Vert">
      <w:pPr>
        <w:pBdr/>
        <w:spacing/>
        <w:ind/>
      </w:pPr>
      <w:tblPr>
        <w:tblBorders/>
      </w:tblPr>
      <w:tcPr>
        <w:shd w:val="clear" w:color="ffffff" w:themeColor="accent5" w:themeTint="75" w:fill="b4d2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5 Dark - Accent 6"/>
    <w:basedOn w:val="11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cPr>
      <w:tcBorders/>
    </w:tcPr>
    <w:tblStylePr w:type="band1Horz">
      <w:pPr>
        <w:pBdr/>
        <w:spacing/>
        <w:ind/>
      </w:pPr>
      <w:tblPr>
        <w:tblBorders/>
      </w:tblPr>
      <w:tcPr>
        <w:shd w:val="clear" w:color="ffffff" w:themeColor="accent6" w:themeTint="75" w:fill="bedba8" w:themeFill="accent6" w:themeFillTint="75"/>
        <w:tcBorders/>
      </w:tcPr>
    </w:tblStylePr>
    <w:tblStylePr w:type="band1Vert">
      <w:pPr>
        <w:pBdr/>
        <w:spacing/>
        <w:ind/>
      </w:pPr>
      <w:tblPr>
        <w:tblBorders/>
      </w:tblPr>
      <w:tcPr>
        <w:shd w:val="clear" w:color="ffffff" w:themeColor="accent6" w:themeTint="75" w:fill="be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6 Colorful"/>
    <w:basedOn w:val="115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51">
    <w:name w:val="Grid Table 6 Colorful - Accent 1"/>
    <w:basedOn w:val="115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2" w:themeFill="accent1" w:themeFillTint="34"/>
        <w:tcBorders/>
      </w:tcPr>
    </w:tblStylePr>
    <w:tblStylePr w:type="band1Vert">
      <w:pPr>
        <w:pBdr/>
        <w:spacing/>
        <w:ind/>
      </w:pPr>
      <w:tblPr>
        <w:tblBorders/>
      </w:tblPr>
      <w:tcPr>
        <w:shd w:val="clear" w:color="ffffff" w:themeColor="accent1" w:themeTint="34" w:fill="d9e2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4a9" w:themeColor="accent1" w:themeTint="80" w:themeShade="95"/>
      </w:rPr>
      <w:pPr>
        <w:pBdr/>
        <w:spacing/>
        <w:ind/>
      </w:pPr>
      <w:tblPr>
        <w:tblBorders/>
      </w:tblPr>
      <w:tcPr>
        <w:tcBorders/>
      </w:tcPr>
    </w:tblStylePr>
    <w:tblStylePr w:type="firstRow">
      <w:rPr>
        <w:b/>
        <w:color w:val="3664a9" w:themeColor="accent1" w:themeTint="80" w:themeShade="95"/>
      </w:rPr>
      <w:pPr>
        <w:pBdr/>
        <w:spacing/>
        <w:ind/>
      </w:pPr>
      <w:tblPr>
        <w:tblBorders/>
      </w:tblPr>
      <w:tcPr>
        <w:tcBorders>
          <w:bottom w:val="single" w:color="000000" w:themeColor="accent1" w:themeTint="80" w:sz="12" w:space="0"/>
        </w:tcBorders>
      </w:tcPr>
    </w:tblStylePr>
    <w:tblStylePr w:type="lastCol">
      <w:rPr>
        <w:b/>
        <w:color w:val="3664a9" w:themeColor="accent1" w:themeTint="80" w:themeShade="95"/>
      </w:rPr>
      <w:pPr>
        <w:pBdr/>
        <w:spacing/>
        <w:ind/>
      </w:pPr>
      <w:tblPr>
        <w:tblBorders/>
      </w:tblPr>
      <w:tcPr>
        <w:tcBorders/>
      </w:tcPr>
    </w:tblStylePr>
    <w:tblStylePr w:type="lastRow">
      <w:rPr>
        <w:b/>
        <w:color w:val="3664a9"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2">
    <w:name w:val="Grid Table 6 Colorful - Accent 2"/>
    <w:basedOn w:val="115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5d6" w:themeFill="accent2" w:themeFillTint="32"/>
        <w:tcBorders/>
      </w:tcPr>
    </w:tblStylePr>
    <w:tblStylePr w:type="band1Vert">
      <w:pPr>
        <w:pBdr/>
        <w:spacing/>
        <w:ind/>
      </w:pPr>
      <w:tblPr>
        <w:tblBorders/>
      </w:tblPr>
      <w:tcPr>
        <w:shd w:val="clear" w:color="ffffff" w:themeColor="accent2" w:themeTint="32" w:fill="fbe5d6"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5712" w:themeColor="accent2" w:themeTint="97" w:themeShade="95"/>
      </w:rPr>
      <w:pPr>
        <w:pBdr/>
        <w:spacing/>
        <w:ind/>
      </w:pPr>
      <w:tblPr>
        <w:tblBorders/>
      </w:tblPr>
      <w:tcPr>
        <w:tcBorders/>
      </w:tcPr>
    </w:tblStylePr>
    <w:tblStylePr w:type="firstRow">
      <w:rPr>
        <w:b/>
        <w:color w:val="c95712" w:themeColor="accent2" w:themeTint="97" w:themeShade="95"/>
      </w:rPr>
      <w:pPr>
        <w:pBdr/>
        <w:spacing/>
        <w:ind/>
      </w:pPr>
      <w:tblPr>
        <w:tblBorders/>
      </w:tblPr>
      <w:tcPr>
        <w:tcBorders>
          <w:bottom w:val="single" w:color="000000" w:themeColor="accent2" w:themeTint="97" w:sz="12" w:space="0"/>
        </w:tcBorders>
      </w:tcPr>
    </w:tblStylePr>
    <w:tblStylePr w:type="lastCol">
      <w:rPr>
        <w:b/>
        <w:color w:val="c95712" w:themeColor="accent2" w:themeTint="97" w:themeShade="95"/>
      </w:rPr>
      <w:pPr>
        <w:pBdr/>
        <w:spacing/>
        <w:ind/>
      </w:pPr>
      <w:tblPr>
        <w:tblBorders/>
      </w:tblPr>
      <w:tcPr>
        <w:tcBorders/>
      </w:tcPr>
    </w:tblStylePr>
    <w:tblStylePr w:type="lastRow">
      <w:rPr>
        <w:b/>
        <w:color w:val="c957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3">
    <w:name w:val="Grid Table 6 Colorful - Accent 3"/>
    <w:basedOn w:val="115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4">
    <w:name w:val="Grid Table 6 Colorful - Accent 4"/>
    <w:basedOn w:val="115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ef2cb" w:themeFill="accent4" w:themeFillTint="34"/>
        <w:tcBorders/>
      </w:tcPr>
    </w:tblStylePr>
    <w:tblStylePr w:type="band1Vert">
      <w:pPr>
        <w:pBdr/>
        <w:spacing/>
        <w:ind/>
      </w:pPr>
      <w:tblPr>
        <w:tblBorders/>
      </w:tblPr>
      <w:tcPr>
        <w:shd w:val="clear" w:color="ffffff" w:themeColor="accent4" w:themeTint="34" w:fill="fe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d9600" w:themeColor="accent4" w:themeTint="9A" w:themeShade="95"/>
      </w:rPr>
      <w:pPr>
        <w:pBdr/>
        <w:spacing/>
        <w:ind/>
      </w:pPr>
      <w:tblPr>
        <w:tblBorders/>
      </w:tblPr>
      <w:tcPr>
        <w:tcBorders/>
      </w:tcPr>
    </w:tblStylePr>
    <w:tblStylePr w:type="firstRow">
      <w:rPr>
        <w:b/>
        <w:color w:val="cd9600" w:themeColor="accent4" w:themeTint="9A" w:themeShade="95"/>
      </w:rPr>
      <w:pPr>
        <w:pBdr/>
        <w:spacing/>
        <w:ind/>
      </w:pPr>
      <w:tblPr>
        <w:tblBorders/>
      </w:tblPr>
      <w:tcPr>
        <w:tcBorders>
          <w:bottom w:val="single" w:color="000000" w:themeColor="accent4" w:themeTint="9A" w:sz="12" w:space="0"/>
        </w:tcBorders>
      </w:tcPr>
    </w:tblStylePr>
    <w:tblStylePr w:type="lastCol">
      <w:rPr>
        <w:b/>
        <w:color w:val="cd9600" w:themeColor="accent4" w:themeTint="9A" w:themeShade="95"/>
      </w:rPr>
      <w:pPr>
        <w:pBdr/>
        <w:spacing/>
        <w:ind/>
      </w:pPr>
      <w:tblPr>
        <w:tblBorders/>
      </w:tblPr>
      <w:tcPr>
        <w:tcBorders/>
      </w:tcPr>
    </w:tblStylePr>
    <w:tblStylePr w:type="lastRow">
      <w:rPr>
        <w:b/>
        <w:color w:val="cd96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5">
    <w:name w:val="Grid Table 6 Colorful - Accent 5"/>
    <w:basedOn w:val="115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debf6" w:themeFill="accent5" w:themeFillTint="34"/>
        <w:tcBorders/>
      </w:tcPr>
    </w:tblStylePr>
    <w:tblStylePr w:type="band1Vert">
      <w:pPr>
        <w:pBdr/>
        <w:spacing/>
        <w:ind/>
      </w:pPr>
      <w:tblPr>
        <w:tblBorders/>
      </w:tblPr>
      <w:tcPr>
        <w:shd w:val="clear" w:color="ffffff" w:themeColor="accent5" w:themeTint="34" w:fill="dd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d8d" w:themeColor="accent5" w:themeShade="95"/>
      </w:rPr>
      <w:pPr>
        <w:pBdr/>
        <w:spacing/>
        <w:ind/>
      </w:pPr>
      <w:tblPr>
        <w:tblBorders/>
      </w:tblPr>
      <w:tcPr>
        <w:tcBorders/>
      </w:tcPr>
    </w:tblStylePr>
    <w:tblStylePr w:type="firstRow">
      <w:rPr>
        <w:b/>
        <w:color w:val="245d8d" w:themeColor="accent5" w:themeShade="95"/>
      </w:rPr>
      <w:pPr>
        <w:pBdr/>
        <w:spacing/>
        <w:ind/>
      </w:pPr>
      <w:tblPr>
        <w:tblBorders/>
      </w:tblPr>
      <w:tcPr>
        <w:tcBorders>
          <w:bottom w:val="single" w:color="000000" w:themeColor="accent5" w:sz="12" w:space="0"/>
        </w:tcBorders>
      </w:tcPr>
    </w:tblStylePr>
    <w:tblStylePr w:type="lastCol">
      <w:rPr>
        <w:b/>
        <w:color w:val="245d8d" w:themeColor="accent5" w:themeShade="95"/>
      </w:rPr>
      <w:pPr>
        <w:pBdr/>
        <w:spacing/>
        <w:ind/>
      </w:pPr>
      <w:tblPr>
        <w:tblBorders/>
      </w:tblPr>
      <w:tcPr>
        <w:tcBorders/>
      </w:tcPr>
    </w:tblStylePr>
    <w:tblStylePr w:type="lastRow">
      <w:rPr>
        <w:b/>
        <w:color w:val="245d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6">
    <w:name w:val="Grid Table 6 Colorful - Accent 6"/>
    <w:basedOn w:val="115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8" w:themeFill="accent6" w:themeFillTint="34"/>
        <w:tcBorders/>
      </w:tcPr>
    </w:tblStylePr>
    <w:tblStylePr w:type="band1Vert">
      <w:pPr>
        <w:pBdr/>
        <w:spacing/>
        <w:ind/>
      </w:pPr>
      <w:tblPr>
        <w:tblBorders/>
      </w:tblPr>
      <w:tcPr>
        <w:shd w:val="clear" w:color="ffffff" w:themeColor="accent6" w:themeTint="34" w:fill="e2efd8"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d8d" w:themeColor="accent5" w:themeShade="95"/>
      </w:rPr>
      <w:pPr>
        <w:pBdr/>
        <w:spacing/>
        <w:ind/>
      </w:pPr>
      <w:tblPr>
        <w:tblBorders/>
      </w:tblPr>
      <w:tcPr>
        <w:tcBorders/>
      </w:tcPr>
    </w:tblStylePr>
    <w:tblStylePr w:type="firstRow">
      <w:rPr>
        <w:b/>
        <w:color w:val="245d8d" w:themeColor="accent5" w:themeShade="95"/>
      </w:rPr>
      <w:pPr>
        <w:pBdr/>
        <w:spacing/>
        <w:ind/>
      </w:pPr>
      <w:tblPr>
        <w:tblBorders/>
      </w:tblPr>
      <w:tcPr>
        <w:tcBorders>
          <w:bottom w:val="single" w:color="000000" w:themeColor="accent6" w:sz="12" w:space="0"/>
        </w:tcBorders>
      </w:tcPr>
    </w:tblStylePr>
    <w:tblStylePr w:type="lastCol">
      <w:rPr>
        <w:b/>
        <w:color w:val="245d8d" w:themeColor="accent5" w:themeShade="95"/>
      </w:rPr>
      <w:pPr>
        <w:pBdr/>
        <w:spacing/>
        <w:ind/>
      </w:pPr>
      <w:tblPr>
        <w:tblBorders/>
      </w:tblPr>
      <w:tcPr>
        <w:tcBorders/>
      </w:tcPr>
    </w:tblStylePr>
    <w:tblStylePr w:type="lastRow">
      <w:rPr>
        <w:b/>
        <w:color w:val="245d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7">
    <w:name w:val="Grid Table 7 Colorful"/>
    <w:basedOn w:val="115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1"/>
    <w:basedOn w:val="115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4a9" w:themeColor="accent1" w:themeTint="80" w:themeShade="95"/>
        <w:sz w:val="22"/>
      </w:rPr>
      <w:pPr>
        <w:pBdr/>
        <w:spacing/>
        <w:ind/>
      </w:pPr>
      <w:tblPr>
        <w:tblBorders/>
      </w:tblPr>
      <w:tcPr>
        <w:shd w:val="clear" w:color="ffffff" w:themeColor="accent1" w:themeTint="34" w:fill="d9e2f2" w:themeFill="accent1" w:themeFillTint="34"/>
        <w:tcBorders/>
      </w:tcPr>
    </w:tblStylePr>
    <w:tblStylePr w:type="band1Vert">
      <w:pPr>
        <w:pBdr/>
        <w:spacing/>
        <w:ind/>
      </w:pPr>
      <w:tblPr>
        <w:tblBorders/>
      </w:tblPr>
      <w:tcPr>
        <w:shd w:val="clear" w:color="ffffff" w:themeColor="accent1" w:themeTint="34" w:fill="d9e2f2" w:themeFill="accent1" w:themeFillTint="34"/>
        <w:tcBorders/>
      </w:tcPr>
    </w:tblStylePr>
    <w:tblStylePr w:type="band2Horz">
      <w:rPr>
        <w:rFonts w:ascii="Arial" w:hAnsi="Arial"/>
        <w:color w:val="3664a9"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4a9"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4a9"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4a9"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4a9"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2"/>
    <w:basedOn w:val="115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95712" w:themeColor="accent2" w:themeTint="97" w:themeShade="95"/>
        <w:sz w:val="22"/>
      </w:rPr>
      <w:pPr>
        <w:pBdr/>
        <w:spacing/>
        <w:ind/>
      </w:pPr>
      <w:tblPr>
        <w:tblBorders/>
      </w:tblPr>
      <w:tcPr>
        <w:shd w:val="clear" w:color="ffffff" w:themeColor="accent2" w:themeTint="32" w:fill="fbe5d6" w:themeFill="accent2" w:themeFillTint="32"/>
        <w:tcBorders/>
      </w:tcPr>
    </w:tblStylePr>
    <w:tblStylePr w:type="band1Vert">
      <w:pPr>
        <w:pBdr/>
        <w:spacing/>
        <w:ind/>
      </w:pPr>
      <w:tblPr>
        <w:tblBorders/>
      </w:tblPr>
      <w:tcPr>
        <w:shd w:val="clear" w:color="ffffff" w:themeColor="accent2" w:themeTint="32" w:fill="fbe5d6" w:themeFill="accent2" w:themeFillTint="32"/>
        <w:tcBorders/>
      </w:tcPr>
    </w:tblStylePr>
    <w:tblStylePr w:type="band2Horz">
      <w:rPr>
        <w:rFonts w:ascii="Arial" w:hAnsi="Arial"/>
        <w:color w:val="c957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57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3"/>
    <w:basedOn w:val="115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7 Colorful - Accent 4"/>
    <w:basedOn w:val="115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cd9600" w:themeColor="accent4" w:themeTint="9A" w:themeShade="95"/>
        <w:sz w:val="22"/>
      </w:rPr>
      <w:pPr>
        <w:pBdr/>
        <w:spacing/>
        <w:ind/>
      </w:pPr>
      <w:tblPr>
        <w:tblBorders/>
      </w:tblPr>
      <w:tcPr>
        <w:shd w:val="clear" w:color="ffffff" w:themeColor="accent4" w:themeTint="34" w:fill="fef2cb" w:themeFill="accent4" w:themeFillTint="34"/>
        <w:tcBorders/>
      </w:tcPr>
    </w:tblStylePr>
    <w:tblStylePr w:type="band1Vert">
      <w:pPr>
        <w:pBdr/>
        <w:spacing/>
        <w:ind/>
      </w:pPr>
      <w:tblPr>
        <w:tblBorders/>
      </w:tblPr>
      <w:tcPr>
        <w:shd w:val="clear" w:color="ffffff" w:themeColor="accent4" w:themeTint="34" w:fill="fef2cb" w:themeFill="accent4" w:themeFillTint="34"/>
        <w:tcBorders/>
      </w:tcPr>
    </w:tblStylePr>
    <w:tblStylePr w:type="band2Horz">
      <w:rPr>
        <w:rFonts w:ascii="Arial" w:hAnsi="Arial"/>
        <w:color w:val="cd96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d96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7 Colorful - Accent 5"/>
    <w:basedOn w:val="115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d8d" w:themeColor="accent5" w:themeShade="95"/>
        <w:sz w:val="22"/>
      </w:rPr>
      <w:pPr>
        <w:pBdr/>
        <w:spacing/>
        <w:ind/>
      </w:pPr>
      <w:tblPr>
        <w:tblBorders/>
      </w:tblPr>
      <w:tcPr>
        <w:shd w:val="clear" w:color="ffffff" w:themeColor="accent5" w:themeTint="34" w:fill="ddebf6" w:themeFill="accent5" w:themeFillTint="34"/>
        <w:tcBorders/>
      </w:tcPr>
    </w:tblStylePr>
    <w:tblStylePr w:type="band1Vert">
      <w:pPr>
        <w:pBdr/>
        <w:spacing/>
        <w:ind/>
      </w:pPr>
      <w:tblPr>
        <w:tblBorders/>
      </w:tblPr>
      <w:tcPr>
        <w:shd w:val="clear" w:color="ffffff" w:themeColor="accent5" w:themeTint="34" w:fill="ddebf6" w:themeFill="accent5" w:themeFillTint="34"/>
        <w:tcBorders/>
      </w:tcPr>
    </w:tblStylePr>
    <w:tblStylePr w:type="band2Horz">
      <w:rPr>
        <w:rFonts w:ascii="Arial" w:hAnsi="Arial"/>
        <w:color w:val="245d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d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d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d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d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7 Colorful - Accent 6"/>
    <w:basedOn w:val="115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26429" w:themeColor="accent6" w:themeShade="95"/>
        <w:sz w:val="22"/>
      </w:rPr>
      <w:pPr>
        <w:pBdr/>
        <w:spacing/>
        <w:ind/>
      </w:pPr>
      <w:tblPr>
        <w:tblBorders/>
      </w:tblPr>
      <w:tcPr>
        <w:shd w:val="clear" w:color="ffffff" w:themeColor="accent6" w:themeTint="34" w:fill="e2efd8" w:themeFill="accent6" w:themeFillTint="34"/>
        <w:tcBorders/>
      </w:tcPr>
    </w:tblStylePr>
    <w:tblStylePr w:type="band1Vert">
      <w:pPr>
        <w:pBdr/>
        <w:spacing/>
        <w:ind/>
      </w:pPr>
      <w:tblPr>
        <w:tblBorders/>
      </w:tblPr>
      <w:tcPr>
        <w:shd w:val="clear" w:color="ffffff" w:themeColor="accent6" w:themeTint="34" w:fill="e2efd8" w:themeFill="accent6" w:themeFillTint="34"/>
        <w:tcBorders/>
      </w:tcPr>
    </w:tblStylePr>
    <w:tblStylePr w:type="band2Horz">
      <w:rPr>
        <w:rFonts w:ascii="Arial" w:hAnsi="Arial"/>
        <w:color w:val="42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264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w:basedOn w:val="11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1"/>
    <w:basedOn w:val="11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cfdcf0" w:themeFill="accent1" w:themeFillTint="40"/>
        <w:tcBorders/>
      </w:tcPr>
    </w:tblStylePr>
    <w:tblStylePr w:type="band1Vert">
      <w:pPr>
        <w:pBdr/>
        <w:spacing/>
        <w:ind/>
      </w:pPr>
      <w:tblPr>
        <w:tblBorders/>
      </w:tblPr>
      <w:tcPr>
        <w:shd w:val="clear" w:color="ffffff" w:themeColor="accent1" w:themeTint="40" w:fill="cf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2"/>
    <w:basedOn w:val="11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3"/>
    <w:basedOn w:val="11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1 Light - Accent 4"/>
    <w:basedOn w:val="11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1 Light - Accent 5"/>
    <w:basedOn w:val="11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5e6f4" w:themeFill="accent5" w:themeFillTint="40"/>
        <w:tcBorders/>
      </w:tcPr>
    </w:tblStylePr>
    <w:tblStylePr w:type="band1Vert">
      <w:pPr>
        <w:pBdr/>
        <w:spacing/>
        <w:ind/>
      </w:pPr>
      <w:tblPr>
        <w:tblBorders/>
      </w:tblPr>
      <w:tcPr>
        <w:shd w:val="clear" w:color="ffffff" w:themeColor="accent5" w:themeTint="40" w:fill="d5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1 Light - Accent 6"/>
    <w:basedOn w:val="11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w:basedOn w:val="115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1"/>
    <w:basedOn w:val="115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cf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cf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2"/>
    <w:basedOn w:val="115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3"/>
    <w:basedOn w:val="115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2 - Accent 4"/>
    <w:basedOn w:val="115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2 - Accent 5"/>
    <w:basedOn w:val="115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5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5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2 - Accent 6"/>
    <w:basedOn w:val="115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w:basedOn w:val="115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1"/>
    <w:basedOn w:val="115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2"/>
    <w:basedOn w:val="115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1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3"/>
    <w:basedOn w:val="115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3 - Accent 4"/>
    <w:basedOn w:val="115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86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3 - Accent 5"/>
    <w:basedOn w:val="115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4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3 - Accent 6"/>
    <w:basedOn w:val="115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ad0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w:basedOn w:val="115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1"/>
    <w:basedOn w:val="115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cf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cf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2"/>
    <w:basedOn w:val="115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3"/>
    <w:basedOn w:val="115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4 - Accent 4"/>
    <w:basedOn w:val="115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4 - Accent 5"/>
    <w:basedOn w:val="115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5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5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4 - Accent 6"/>
    <w:basedOn w:val="115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5 Dark"/>
    <w:basedOn w:val="115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1"/>
    <w:basedOn w:val="115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2"/>
    <w:basedOn w:val="115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cPr>
      <w:tcBorders/>
    </w:tcPr>
    <w:tblStylePr w:type="band1Horz">
      <w:pPr>
        <w:pBdr/>
        <w:spacing/>
        <w:ind/>
      </w:pPr>
      <w:tblPr>
        <w:tblBorders/>
      </w:tblPr>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3"/>
    <w:basedOn w:val="115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5 Dark - Accent 4"/>
    <w:basedOn w:val="115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cPr>
      <w:tcBorders/>
    </w:tcPr>
    <w:tblStylePr w:type="band1Horz">
      <w:pPr>
        <w:pBdr/>
        <w:spacing/>
        <w:ind/>
      </w:pPr>
      <w:tblPr>
        <w:tblBorders/>
      </w:tblPr>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5 Dark - Accent 5"/>
    <w:basedOn w:val="115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cPr>
      <w:tcBorders/>
    </w:tcPr>
    <w:tblStylePr w:type="band1Horz">
      <w:pPr>
        <w:pBdr/>
        <w:spacing/>
        <w:ind/>
      </w:pPr>
      <w:tblPr>
        <w:tblBorders/>
      </w:tblPr>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8">
    <w:name w:val="List Table 5 Dark - Accent 6"/>
    <w:basedOn w:val="115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cPr>
      <w:tcBorders/>
    </w:tcPr>
    <w:tblStylePr w:type="band1Horz">
      <w:pPr>
        <w:pBdr/>
        <w:spacing/>
        <w:ind/>
      </w:pPr>
      <w:tblPr>
        <w:tblBorders/>
      </w:tblPr>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9">
    <w:name w:val="List Table 6 Colorful"/>
    <w:basedOn w:val="115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1"/>
    <w:basedOn w:val="115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cfdcf0" w:themeFill="accent1" w:themeFillTint="40"/>
        <w:tcBorders/>
      </w:tcPr>
    </w:tblStylePr>
    <w:tblStylePr w:type="band1Vert">
      <w:pPr>
        <w:pBdr/>
        <w:spacing/>
        <w:ind/>
      </w:pPr>
      <w:tblPr>
        <w:tblBorders/>
      </w:tblPr>
      <w:tcPr>
        <w:shd w:val="clear" w:color="ffffff" w:themeColor="accent1" w:themeTint="40" w:fill="cf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374" w:themeColor="accent1" w:themeShade="95"/>
      </w:rPr>
      <w:pPr>
        <w:pBdr/>
        <w:spacing/>
        <w:ind/>
      </w:pPr>
      <w:tblPr>
        <w:tblBorders/>
      </w:tblPr>
      <w:tcPr>
        <w:tcBorders/>
      </w:tcPr>
    </w:tblStylePr>
    <w:tblStylePr w:type="firstRow">
      <w:rPr>
        <w:b/>
        <w:color w:val="254374" w:themeColor="accent1" w:themeShade="95"/>
      </w:rPr>
      <w:pPr>
        <w:pBdr/>
        <w:spacing/>
        <w:ind/>
      </w:pPr>
      <w:tblPr>
        <w:tblBorders/>
      </w:tblPr>
      <w:tcPr>
        <w:tcBorders>
          <w:bottom w:val="single" w:color="000000" w:themeColor="accent1" w:sz="4" w:space="0"/>
        </w:tcBorders>
      </w:tcPr>
    </w:tblStylePr>
    <w:tblStylePr w:type="lastCol">
      <w:rPr>
        <w:b/>
        <w:color w:val="254374" w:themeColor="accent1" w:themeShade="95"/>
      </w:rPr>
      <w:pPr>
        <w:pBdr/>
        <w:spacing/>
        <w:ind/>
      </w:pPr>
      <w:tblPr>
        <w:tblBorders/>
      </w:tblPr>
      <w:tcPr>
        <w:tcBorders/>
      </w:tcPr>
    </w:tblStylePr>
    <w:tblStylePr w:type="lastRow">
      <w:rPr>
        <w:b/>
        <w:color w:val="254374"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2"/>
    <w:basedOn w:val="115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5712" w:themeColor="accent2" w:themeTint="97" w:themeShade="95"/>
      </w:rPr>
      <w:pPr>
        <w:pBdr/>
        <w:spacing/>
        <w:ind/>
      </w:pPr>
      <w:tblPr>
        <w:tblBorders/>
      </w:tblPr>
      <w:tcPr>
        <w:tcBorders/>
      </w:tcPr>
    </w:tblStylePr>
    <w:tblStylePr w:type="firstRow">
      <w:rPr>
        <w:b/>
        <w:color w:val="c95712" w:themeColor="accent2" w:themeTint="97" w:themeShade="95"/>
      </w:rPr>
      <w:pPr>
        <w:pBdr/>
        <w:spacing/>
        <w:ind/>
      </w:pPr>
      <w:tblPr>
        <w:tblBorders/>
      </w:tblPr>
      <w:tcPr>
        <w:tcBorders>
          <w:bottom w:val="single" w:color="000000" w:themeColor="accent2" w:themeTint="97" w:sz="4" w:space="0"/>
        </w:tcBorders>
      </w:tcPr>
    </w:tblStylePr>
    <w:tblStylePr w:type="lastCol">
      <w:rPr>
        <w:b/>
        <w:color w:val="c95712" w:themeColor="accent2" w:themeTint="97" w:themeShade="95"/>
      </w:rPr>
      <w:pPr>
        <w:pBdr/>
        <w:spacing/>
        <w:ind/>
      </w:pPr>
      <w:tblPr>
        <w:tblBorders/>
      </w:tblPr>
      <w:tcPr>
        <w:tcBorders/>
      </w:tcPr>
    </w:tblStylePr>
    <w:tblStylePr w:type="lastRow">
      <w:rPr>
        <w:b/>
        <w:color w:val="c957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3"/>
    <w:basedOn w:val="115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4"/>
    <w:basedOn w:val="115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d9600" w:themeColor="accent4" w:themeTint="9A" w:themeShade="95"/>
      </w:rPr>
      <w:pPr>
        <w:pBdr/>
        <w:spacing/>
        <w:ind/>
      </w:pPr>
      <w:tblPr>
        <w:tblBorders/>
      </w:tblPr>
      <w:tcPr>
        <w:tcBorders/>
      </w:tcPr>
    </w:tblStylePr>
    <w:tblStylePr w:type="firstRow">
      <w:rPr>
        <w:b/>
        <w:color w:val="cd9600" w:themeColor="accent4" w:themeTint="9A" w:themeShade="95"/>
      </w:rPr>
      <w:pPr>
        <w:pBdr/>
        <w:spacing/>
        <w:ind/>
      </w:pPr>
      <w:tblPr>
        <w:tblBorders/>
      </w:tblPr>
      <w:tcPr>
        <w:tcBorders>
          <w:bottom w:val="single" w:color="000000" w:themeColor="accent4" w:themeTint="9A" w:sz="4" w:space="0"/>
        </w:tcBorders>
      </w:tcPr>
    </w:tblStylePr>
    <w:tblStylePr w:type="lastCol">
      <w:rPr>
        <w:b/>
        <w:color w:val="cd9600" w:themeColor="accent4" w:themeTint="9A" w:themeShade="95"/>
      </w:rPr>
      <w:pPr>
        <w:pBdr/>
        <w:spacing/>
        <w:ind/>
      </w:pPr>
      <w:tblPr>
        <w:tblBorders/>
      </w:tblPr>
      <w:tcPr>
        <w:tcBorders/>
      </w:tcPr>
    </w:tblStylePr>
    <w:tblStylePr w:type="lastRow">
      <w:rPr>
        <w:b/>
        <w:color w:val="cd96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6 Colorful - Accent 5"/>
    <w:basedOn w:val="115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5e6f4" w:themeFill="accent5" w:themeFillTint="40"/>
        <w:tcBorders/>
      </w:tcPr>
    </w:tblStylePr>
    <w:tblStylePr w:type="band1Vert">
      <w:pPr>
        <w:pBdr/>
        <w:spacing/>
        <w:ind/>
      </w:pPr>
      <w:tblPr>
        <w:tblBorders/>
      </w:tblPr>
      <w:tcPr>
        <w:shd w:val="clear" w:color="ffffff" w:themeColor="accent5" w:themeTint="40" w:fill="d5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8b1" w:themeColor="accent5" w:themeTint="9A" w:themeShade="95"/>
      </w:rPr>
      <w:pPr>
        <w:pBdr/>
        <w:spacing/>
        <w:ind/>
      </w:pPr>
      <w:tblPr>
        <w:tblBorders/>
      </w:tblPr>
      <w:tcPr>
        <w:tcBorders/>
      </w:tcPr>
    </w:tblStylePr>
    <w:tblStylePr w:type="firstRow">
      <w:rPr>
        <w:b/>
        <w:color w:val="2e78b1" w:themeColor="accent5" w:themeTint="9A" w:themeShade="95"/>
      </w:rPr>
      <w:pPr>
        <w:pBdr/>
        <w:spacing/>
        <w:ind/>
      </w:pPr>
      <w:tblPr>
        <w:tblBorders/>
      </w:tblPr>
      <w:tcPr>
        <w:tcBorders>
          <w:bottom w:val="single" w:color="000000" w:themeColor="accent5" w:themeTint="9A" w:sz="4" w:space="0"/>
        </w:tcBorders>
      </w:tcPr>
    </w:tblStylePr>
    <w:tblStylePr w:type="lastCol">
      <w:rPr>
        <w:b/>
        <w:color w:val="2e78b1" w:themeColor="accent5" w:themeTint="9A" w:themeShade="95"/>
      </w:rPr>
      <w:pPr>
        <w:pBdr/>
        <w:spacing/>
        <w:ind/>
      </w:pPr>
      <w:tblPr>
        <w:tblBorders/>
      </w:tblPr>
      <w:tcPr>
        <w:tcBorders/>
      </w:tcPr>
    </w:tblStylePr>
    <w:tblStylePr w:type="lastRow">
      <w:rPr>
        <w:b/>
        <w:color w:val="2e78b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6 Colorful - Accent 6"/>
    <w:basedOn w:val="115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8f3c" w:themeColor="accent6" w:themeTint="98" w:themeShade="95"/>
      </w:rPr>
      <w:pPr>
        <w:pBdr/>
        <w:spacing/>
        <w:ind/>
      </w:pPr>
      <w:tblPr>
        <w:tblBorders/>
      </w:tblPr>
      <w:tcPr>
        <w:tcBorders/>
      </w:tcPr>
    </w:tblStylePr>
    <w:tblStylePr w:type="firstRow">
      <w:rPr>
        <w:b/>
        <w:color w:val="5f8f3c" w:themeColor="accent6" w:themeTint="98" w:themeShade="95"/>
      </w:rPr>
      <w:pPr>
        <w:pBdr/>
        <w:spacing/>
        <w:ind/>
      </w:pPr>
      <w:tblPr>
        <w:tblBorders/>
      </w:tblPr>
      <w:tcPr>
        <w:tcBorders>
          <w:bottom w:val="single" w:color="000000" w:themeColor="accent6" w:themeTint="98" w:sz="4" w:space="0"/>
        </w:tcBorders>
      </w:tcPr>
    </w:tblStylePr>
    <w:tblStylePr w:type="lastCol">
      <w:rPr>
        <w:b/>
        <w:color w:val="5f8f3c" w:themeColor="accent6" w:themeTint="98" w:themeShade="95"/>
      </w:rPr>
      <w:pPr>
        <w:pBdr/>
        <w:spacing/>
        <w:ind/>
      </w:pPr>
      <w:tblPr>
        <w:tblBorders/>
      </w:tblPr>
      <w:tcPr>
        <w:tcBorders/>
      </w:tcPr>
    </w:tblStylePr>
    <w:tblStylePr w:type="lastRow">
      <w:rPr>
        <w:b/>
        <w:color w:val="5f8f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7 Colorful"/>
    <w:basedOn w:val="115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7">
    <w:name w:val="List Table 7 Colorful - Accent 1"/>
    <w:basedOn w:val="115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374" w:themeColor="accent1" w:themeShade="95"/>
        <w:sz w:val="22"/>
      </w:rPr>
      <w:pPr>
        <w:pBdr/>
        <w:spacing/>
        <w:ind/>
      </w:pPr>
      <w:tblPr>
        <w:tblBorders/>
      </w:tblPr>
      <w:tcPr>
        <w:shd w:val="clear" w:color="ffffff" w:themeColor="accent1" w:themeTint="40" w:fill="cfdcf0" w:themeFill="accent1" w:themeFillTint="40"/>
        <w:tcBorders/>
      </w:tcPr>
    </w:tblStylePr>
    <w:tblStylePr w:type="band1Vert">
      <w:pPr>
        <w:pBdr/>
        <w:spacing/>
        <w:ind/>
      </w:pPr>
      <w:tblPr>
        <w:tblBorders/>
      </w:tblPr>
      <w:tcPr>
        <w:shd w:val="clear" w:color="ffffff" w:themeColor="accent1" w:themeTint="40" w:fill="cfdcf0" w:themeFill="accent1" w:themeFillTint="40"/>
        <w:tcBorders/>
      </w:tcPr>
    </w:tblStylePr>
    <w:tblStylePr w:type="band2Horz">
      <w:rPr>
        <w:rFonts w:ascii="Arial" w:hAnsi="Arial"/>
        <w:color w:val="254374"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374"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374"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374"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374"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374" w:themeColor="accent1" w:themeShade="95"/>
        <w:sz w:val="22"/>
      </w:rPr>
      <w:pPr>
        <w:pBdr/>
        <w:spacing/>
        <w:ind/>
      </w:pPr>
      <w:tblPr>
        <w:tblBorders/>
      </w:tblPr>
      <w:tcPr>
        <w:tcBorders/>
      </w:tcPr>
    </w:tblStylePr>
  </w:style>
  <w:style w:type="table" w:styleId="908">
    <w:name w:val="List Table 7 Colorful - Accent 2"/>
    <w:basedOn w:val="115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957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957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57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95712" w:themeColor="accent2" w:themeTint="97" w:themeShade="95"/>
        <w:sz w:val="22"/>
      </w:rPr>
      <w:pPr>
        <w:pBdr/>
        <w:spacing/>
        <w:ind/>
      </w:pPr>
      <w:tblPr>
        <w:tblBorders/>
      </w:tblPr>
      <w:tcPr>
        <w:tcBorders/>
      </w:tcPr>
    </w:tblStylePr>
  </w:style>
  <w:style w:type="table" w:styleId="909">
    <w:name w:val="List Table 7 Colorful - Accent 3"/>
    <w:basedOn w:val="115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910">
    <w:name w:val="List Table 7 Colorful - Accent 4"/>
    <w:basedOn w:val="115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cd96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cd96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d96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d9600" w:themeColor="accent4" w:themeTint="9A" w:themeShade="95"/>
        <w:sz w:val="22"/>
      </w:rPr>
      <w:pPr>
        <w:pBdr/>
        <w:spacing/>
        <w:ind/>
      </w:pPr>
      <w:tblPr>
        <w:tblBorders/>
      </w:tblPr>
      <w:tcPr>
        <w:tcBorders/>
      </w:tcPr>
    </w:tblStylePr>
  </w:style>
  <w:style w:type="table" w:styleId="911">
    <w:name w:val="List Table 7 Colorful - Accent 5"/>
    <w:basedOn w:val="115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8b1" w:themeColor="accent5" w:themeTint="9A" w:themeShade="95"/>
        <w:sz w:val="22"/>
      </w:rPr>
      <w:pPr>
        <w:pBdr/>
        <w:spacing/>
        <w:ind/>
      </w:pPr>
      <w:tblPr>
        <w:tblBorders/>
      </w:tblPr>
      <w:tcPr>
        <w:shd w:val="clear" w:color="ffffff" w:themeColor="accent5" w:themeTint="40" w:fill="d5e6f4" w:themeFill="accent5" w:themeFillTint="40"/>
        <w:tcBorders/>
      </w:tcPr>
    </w:tblStylePr>
    <w:tblStylePr w:type="band1Vert">
      <w:pPr>
        <w:pBdr/>
        <w:spacing/>
        <w:ind/>
      </w:pPr>
      <w:tblPr>
        <w:tblBorders/>
      </w:tblPr>
      <w:tcPr>
        <w:shd w:val="clear" w:color="ffffff" w:themeColor="accent5" w:themeTint="40" w:fill="d5e6f4" w:themeFill="accent5" w:themeFillTint="40"/>
        <w:tcBorders/>
      </w:tcPr>
    </w:tblStylePr>
    <w:tblStylePr w:type="band2Horz">
      <w:rPr>
        <w:rFonts w:ascii="Arial" w:hAnsi="Arial"/>
        <w:color w:val="2e78b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8b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8b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8b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8b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8b1" w:themeColor="accent5" w:themeTint="9A" w:themeShade="95"/>
        <w:sz w:val="22"/>
      </w:rPr>
      <w:pPr>
        <w:pBdr/>
        <w:spacing/>
        <w:ind/>
      </w:pPr>
      <w:tblPr>
        <w:tblBorders/>
      </w:tblPr>
      <w:tcPr>
        <w:tcBorders/>
      </w:tcPr>
    </w:tblStylePr>
  </w:style>
  <w:style w:type="table" w:styleId="912">
    <w:name w:val="List Table 7 Colorful - Accent 6"/>
    <w:basedOn w:val="115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f8f3c" w:themeColor="accent6" w:themeTint="98" w:themeShade="95"/>
        <w:sz w:val="22"/>
      </w:rPr>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rPr>
        <w:rFonts w:ascii="Arial" w:hAnsi="Arial"/>
        <w:color w:val="5f8f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8f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f8f3c" w:themeColor="accent6" w:themeTint="98" w:themeShade="95"/>
        <w:sz w:val="22"/>
      </w:rPr>
      <w:pPr>
        <w:pBdr/>
        <w:spacing/>
        <w:ind/>
      </w:pPr>
      <w:tblPr>
        <w:tblBorders/>
      </w:tblPr>
      <w:tcPr>
        <w:tcBorders/>
      </w:tcPr>
    </w:tblStylePr>
  </w:style>
  <w:style w:type="table" w:styleId="913">
    <w:name w:val="Lined - Accent"/>
    <w:basedOn w:val="11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1"/>
    <w:basedOn w:val="11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3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3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2"/>
    <w:basedOn w:val="11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3"/>
    <w:basedOn w:val="11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ned - Accent 4"/>
    <w:basedOn w:val="11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ned - Accent 5"/>
    <w:basedOn w:val="11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ned - Accent 6"/>
    <w:basedOn w:val="11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w:basedOn w:val="115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1"/>
    <w:basedOn w:val="115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3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3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2"/>
    <w:basedOn w:val="115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3"/>
    <w:basedOn w:val="115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amp; Lined - Accent 4"/>
    <w:basedOn w:val="115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amp; Lined - Accent 5"/>
    <w:basedOn w:val="115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amp; Lined - Accent 6"/>
    <w:basedOn w:val="115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w:basedOn w:val="115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1"/>
    <w:basedOn w:val="115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2"/>
    <w:basedOn w:val="115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3"/>
    <w:basedOn w:val="115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 Accent 4"/>
    <w:basedOn w:val="115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Bordered - Accent 5"/>
    <w:basedOn w:val="115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Bordered - Accent 6"/>
    <w:basedOn w:val="115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4">
    <w:name w:val="footnote text"/>
    <w:basedOn w:val="941"/>
    <w:link w:val="935"/>
    <w:uiPriority w:val="99"/>
    <w:semiHidden/>
    <w:unhideWhenUsed/>
    <w:pPr>
      <w:pBdr/>
      <w:spacing w:after="40" w:line="240" w:lineRule="auto"/>
      <w:ind/>
    </w:pPr>
    <w:rPr>
      <w:sz w:val="18"/>
    </w:rPr>
  </w:style>
  <w:style w:type="character" w:styleId="935">
    <w:name w:val="Footnote Text Char"/>
    <w:link w:val="934"/>
    <w:uiPriority w:val="99"/>
    <w:pPr>
      <w:pBdr/>
      <w:spacing/>
      <w:ind/>
    </w:pPr>
    <w:rPr>
      <w:sz w:val="18"/>
    </w:rPr>
  </w:style>
  <w:style w:type="paragraph" w:styleId="936">
    <w:name w:val="endnote text"/>
    <w:basedOn w:val="941"/>
    <w:link w:val="937"/>
    <w:uiPriority w:val="99"/>
    <w:semiHidden/>
    <w:unhideWhenUsed/>
    <w:pPr>
      <w:pBdr/>
      <w:spacing w:after="0" w:line="240" w:lineRule="auto"/>
      <w:ind/>
    </w:pPr>
    <w:rPr>
      <w:sz w:val="20"/>
    </w:rPr>
  </w:style>
  <w:style w:type="character" w:styleId="937">
    <w:name w:val="Endnote Text Char"/>
    <w:link w:val="936"/>
    <w:uiPriority w:val="99"/>
    <w:pPr>
      <w:pBdr/>
      <w:spacing/>
      <w:ind/>
    </w:pPr>
    <w:rPr>
      <w:sz w:val="20"/>
    </w:rPr>
  </w:style>
  <w:style w:type="paragraph" w:styleId="938">
    <w:name w:val="TOC Heading"/>
    <w:uiPriority w:val="39"/>
    <w:unhideWhenUsed/>
    <w:pPr>
      <w:pBdr/>
      <w:spacing/>
      <w:ind/>
    </w:pPr>
  </w:style>
  <w:style w:type="paragraph" w:styleId="939">
    <w:name w:val="table of figures"/>
    <w:basedOn w:val="941"/>
    <w:next w:val="941"/>
    <w:uiPriority w:val="99"/>
    <w:unhideWhenUsed/>
    <w:pPr>
      <w:pBdr/>
      <w:spacing w:after="0" w:afterAutospacing="0"/>
      <w:ind/>
    </w:pPr>
  </w:style>
  <w:style w:type="paragraph" w:styleId="940">
    <w:name w:val="Normal"/>
    <w:link w:val="941"/>
    <w:uiPriority w:val="0"/>
    <w:qFormat/>
    <w:pPr>
      <w:pBdr/>
      <w:spacing/>
      <w:ind/>
    </w:pPr>
    <w:rPr>
      <w:rFonts w:ascii="Arial" w:hAnsi="Arial"/>
    </w:rPr>
  </w:style>
  <w:style w:type="character" w:styleId="941">
    <w:name w:val="Normal"/>
    <w:link w:val="940"/>
    <w:pPr>
      <w:pBdr/>
      <w:spacing/>
      <w:ind/>
    </w:pPr>
    <w:rPr>
      <w:rFonts w:ascii="Arial" w:hAnsi="Arial"/>
    </w:rPr>
  </w:style>
  <w:style w:type="paragraph" w:styleId="942">
    <w:name w:val="заголовок 22"/>
    <w:basedOn w:val="940"/>
    <w:next w:val="940"/>
    <w:link w:val="943"/>
    <w:pPr>
      <w:pBdr/>
      <w:spacing w:before="120"/>
      <w:ind/>
      <w:jc w:val="both"/>
    </w:pPr>
  </w:style>
  <w:style w:type="character" w:styleId="943">
    <w:name w:val="заголовок 22"/>
    <w:basedOn w:val="941"/>
    <w:link w:val="942"/>
    <w:pPr>
      <w:pBdr/>
      <w:spacing/>
      <w:ind/>
    </w:pPr>
  </w:style>
  <w:style w:type="paragraph" w:styleId="944">
    <w:name w:val="Iau?iue.Ceo?aaiue1"/>
    <w:link w:val="945"/>
    <w:pPr>
      <w:pBdr/>
      <w:tabs>
        <w:tab w:val="left" w:leader="none" w:pos="851"/>
      </w:tabs>
      <w:spacing/>
      <w:ind/>
      <w:jc w:val="both"/>
    </w:pPr>
    <w:rPr>
      <w:rFonts w:ascii="TimesET" w:hAnsi="TimesET"/>
      <w:sz w:val="24"/>
    </w:rPr>
  </w:style>
  <w:style w:type="character" w:styleId="945">
    <w:name w:val="Iau?iue.Ceo?aaiue1"/>
    <w:link w:val="944"/>
    <w:pPr>
      <w:pBdr/>
      <w:spacing/>
      <w:ind/>
    </w:pPr>
    <w:rPr>
      <w:rFonts w:ascii="TimesET" w:hAnsi="TimesET"/>
      <w:sz w:val="24"/>
    </w:rPr>
  </w:style>
  <w:style w:type="paragraph" w:styleId="946">
    <w:name w:val="toc 2"/>
    <w:basedOn w:val="940"/>
    <w:next w:val="940"/>
    <w:link w:val="947"/>
    <w:uiPriority w:val="39"/>
    <w:pPr>
      <w:pBdr/>
      <w:spacing w:before="240"/>
      <w:ind/>
    </w:pPr>
    <w:rPr>
      <w:b/>
    </w:rPr>
  </w:style>
  <w:style w:type="character" w:styleId="947">
    <w:name w:val="toc 2"/>
    <w:basedOn w:val="941"/>
    <w:link w:val="946"/>
    <w:pPr>
      <w:pBdr/>
      <w:spacing/>
      <w:ind/>
    </w:pPr>
    <w:rPr>
      <w:b/>
    </w:rPr>
  </w:style>
  <w:style w:type="paragraph" w:styleId="948">
    <w:name w:val="Гипертекстовая ссылка"/>
    <w:link w:val="949"/>
    <w:pPr>
      <w:pBdr/>
      <w:spacing/>
      <w:ind/>
    </w:pPr>
    <w:rPr>
      <w:color w:val="008000"/>
      <w:sz w:val="20"/>
      <w:u w:val="single"/>
    </w:rPr>
  </w:style>
  <w:style w:type="character" w:styleId="949">
    <w:name w:val="Гипертекстовая ссылка"/>
    <w:link w:val="948"/>
    <w:pPr>
      <w:pBdr/>
      <w:spacing/>
      <w:ind/>
    </w:pPr>
    <w:rPr>
      <w:color w:val="008000"/>
      <w:sz w:val="20"/>
      <w:u w:val="single"/>
    </w:rPr>
  </w:style>
  <w:style w:type="paragraph" w:styleId="950">
    <w:name w:val="Стиль_Основной"/>
    <w:basedOn w:val="1036"/>
    <w:link w:val="951"/>
    <w:pPr>
      <w:pBdr/>
      <w:spacing/>
      <w:ind/>
    </w:pPr>
    <w:rPr>
      <w:rFonts w:ascii="Arial" w:hAnsi="Arial"/>
      <w:sz w:val="20"/>
    </w:rPr>
  </w:style>
  <w:style w:type="character" w:styleId="951">
    <w:name w:val="Стиль_Основной"/>
    <w:basedOn w:val="1037"/>
    <w:link w:val="950"/>
    <w:pPr>
      <w:pBdr/>
      <w:spacing/>
      <w:ind/>
    </w:pPr>
    <w:rPr>
      <w:rFonts w:ascii="Arial" w:hAnsi="Arial"/>
      <w:sz w:val="20"/>
    </w:rPr>
  </w:style>
  <w:style w:type="paragraph" w:styleId="952">
    <w:name w:val="заголовок 13"/>
    <w:basedOn w:val="940"/>
    <w:next w:val="940"/>
    <w:link w:val="953"/>
    <w:pPr>
      <w:keepNext w:val="true"/>
      <w:pBdr/>
      <w:spacing w:after="60" w:before="240"/>
      <w:ind/>
      <w:jc w:val="center"/>
    </w:pPr>
    <w:rPr>
      <w:b/>
      <w:caps/>
    </w:rPr>
  </w:style>
  <w:style w:type="character" w:styleId="953">
    <w:name w:val="заголовок 13"/>
    <w:basedOn w:val="941"/>
    <w:link w:val="952"/>
    <w:pPr>
      <w:pBdr/>
      <w:spacing/>
      <w:ind/>
    </w:pPr>
    <w:rPr>
      <w:b/>
      <w:caps/>
    </w:rPr>
  </w:style>
  <w:style w:type="paragraph" w:styleId="954">
    <w:name w:val="StGen0"/>
    <w:link w:val="955"/>
    <w:semiHidden/>
    <w:unhideWhenUsed/>
    <w:pPr>
      <w:pBdr/>
      <w:spacing/>
      <w:ind/>
    </w:pPr>
    <w:rPr>
      <w:sz w:val="24"/>
    </w:rPr>
  </w:style>
  <w:style w:type="character" w:styleId="955">
    <w:name w:val="StGen1"/>
    <w:link w:val="954"/>
    <w:semiHidden/>
    <w:unhideWhenUsed/>
    <w:pPr>
      <w:pBdr/>
      <w:spacing/>
      <w:ind/>
    </w:pPr>
    <w:rPr>
      <w:sz w:val="24"/>
    </w:rPr>
  </w:style>
  <w:style w:type="paragraph" w:styleId="956">
    <w:name w:val="toc 4"/>
    <w:basedOn w:val="940"/>
    <w:next w:val="940"/>
    <w:link w:val="957"/>
    <w:uiPriority w:val="39"/>
    <w:pPr>
      <w:pBdr/>
      <w:spacing/>
      <w:ind w:firstLine="0" w:left="480"/>
    </w:pPr>
  </w:style>
  <w:style w:type="character" w:styleId="957">
    <w:name w:val="toc 4"/>
    <w:basedOn w:val="941"/>
    <w:link w:val="956"/>
    <w:pPr>
      <w:pBdr/>
      <w:spacing/>
      <w:ind/>
    </w:pPr>
  </w:style>
  <w:style w:type="paragraph" w:styleId="958">
    <w:name w:val="çàãîëîâîê 2"/>
    <w:basedOn w:val="940"/>
    <w:next w:val="940"/>
    <w:link w:val="959"/>
    <w:pPr>
      <w:keepNext w:val="true"/>
      <w:pBdr/>
      <w:spacing/>
      <w:ind/>
    </w:pPr>
    <w:rPr>
      <w:b/>
    </w:rPr>
  </w:style>
  <w:style w:type="character" w:styleId="959">
    <w:name w:val="çàãîëîâîê 2"/>
    <w:basedOn w:val="941"/>
    <w:link w:val="958"/>
    <w:pPr>
      <w:pBdr/>
      <w:spacing/>
      <w:ind/>
    </w:pPr>
    <w:rPr>
      <w:b/>
    </w:rPr>
  </w:style>
  <w:style w:type="paragraph" w:styleId="960">
    <w:name w:val="Body Text Indent 3"/>
    <w:basedOn w:val="940"/>
    <w:link w:val="961"/>
    <w:pPr>
      <w:widowControl w:val="false"/>
      <w:pBdr/>
      <w:spacing/>
      <w:ind w:firstLine="294" w:left="0"/>
      <w:jc w:val="both"/>
    </w:pPr>
    <w:rPr>
      <w:sz w:val="22"/>
    </w:rPr>
  </w:style>
  <w:style w:type="character" w:styleId="961">
    <w:name w:val="Body Text Indent 3"/>
    <w:basedOn w:val="941"/>
    <w:link w:val="960"/>
    <w:pPr>
      <w:pBdr/>
      <w:spacing/>
      <w:ind/>
    </w:pPr>
    <w:rPr>
      <w:sz w:val="22"/>
    </w:rPr>
  </w:style>
  <w:style w:type="paragraph" w:styleId="962">
    <w:name w:val="Heading 7"/>
    <w:basedOn w:val="940"/>
    <w:next w:val="940"/>
    <w:link w:val="963"/>
    <w:uiPriority w:val="9"/>
    <w:qFormat/>
    <w:pPr>
      <w:keepNext w:val="true"/>
      <w:pBdr/>
      <w:spacing/>
      <w:ind/>
      <w:jc w:val="both"/>
      <w:outlineLvl w:val="6"/>
    </w:pPr>
    <w:rPr>
      <w:b/>
      <w:i/>
    </w:rPr>
  </w:style>
  <w:style w:type="character" w:styleId="963">
    <w:name w:val="Heading 7"/>
    <w:basedOn w:val="941"/>
    <w:link w:val="962"/>
    <w:pPr>
      <w:pBdr/>
      <w:spacing/>
      <w:ind/>
    </w:pPr>
    <w:rPr>
      <w:b/>
      <w:i/>
    </w:rPr>
  </w:style>
  <w:style w:type="paragraph" w:styleId="964">
    <w:name w:val="Strong"/>
    <w:link w:val="965"/>
    <w:pPr>
      <w:pBdr/>
      <w:spacing/>
      <w:ind/>
    </w:pPr>
    <w:rPr>
      <w:b/>
    </w:rPr>
  </w:style>
  <w:style w:type="character" w:styleId="965">
    <w:name w:val="Strong"/>
    <w:link w:val="964"/>
    <w:pPr>
      <w:pBdr/>
      <w:spacing/>
      <w:ind/>
    </w:pPr>
    <w:rPr>
      <w:b/>
    </w:rPr>
  </w:style>
  <w:style w:type="paragraph" w:styleId="966">
    <w:name w:val="page number"/>
    <w:basedOn w:val="1036"/>
    <w:link w:val="967"/>
    <w:pPr>
      <w:pBdr/>
      <w:spacing/>
      <w:ind/>
    </w:pPr>
  </w:style>
  <w:style w:type="character" w:styleId="967">
    <w:name w:val="page number"/>
    <w:basedOn w:val="1037"/>
    <w:link w:val="966"/>
    <w:pPr>
      <w:pBdr/>
      <w:spacing/>
      <w:ind/>
    </w:pPr>
  </w:style>
  <w:style w:type="paragraph" w:styleId="968">
    <w:name w:val="toc 6"/>
    <w:basedOn w:val="940"/>
    <w:next w:val="940"/>
    <w:link w:val="969"/>
    <w:uiPriority w:val="39"/>
    <w:pPr>
      <w:pBdr/>
      <w:spacing/>
      <w:ind w:firstLine="0" w:left="960"/>
    </w:pPr>
  </w:style>
  <w:style w:type="character" w:styleId="969">
    <w:name w:val="toc 6"/>
    <w:basedOn w:val="941"/>
    <w:link w:val="968"/>
    <w:pPr>
      <w:pBdr/>
      <w:spacing/>
      <w:ind/>
    </w:pPr>
  </w:style>
  <w:style w:type="paragraph" w:styleId="970">
    <w:name w:val="Iniiaiie oaeno"/>
    <w:basedOn w:val="940"/>
    <w:link w:val="971"/>
    <w:pPr>
      <w:pBdr/>
      <w:spacing/>
      <w:ind/>
      <w:jc w:val="both"/>
    </w:pPr>
    <w:rPr>
      <w:sz w:val="22"/>
    </w:rPr>
  </w:style>
  <w:style w:type="character" w:styleId="971">
    <w:name w:val="Iniiaiie oaeno"/>
    <w:basedOn w:val="941"/>
    <w:link w:val="970"/>
    <w:pPr>
      <w:pBdr/>
      <w:spacing/>
      <w:ind/>
    </w:pPr>
    <w:rPr>
      <w:sz w:val="22"/>
    </w:rPr>
  </w:style>
  <w:style w:type="paragraph" w:styleId="972">
    <w:name w:val="Body Text"/>
    <w:basedOn w:val="940"/>
    <w:link w:val="973"/>
    <w:pPr>
      <w:pBdr/>
      <w:spacing w:afterAutospacing="1"/>
      <w:ind/>
      <w:jc w:val="both"/>
    </w:pPr>
  </w:style>
  <w:style w:type="character" w:styleId="973">
    <w:name w:val="Body Text"/>
    <w:basedOn w:val="941"/>
    <w:link w:val="972"/>
    <w:pPr>
      <w:pBdr/>
      <w:spacing/>
      <w:ind/>
    </w:pPr>
  </w:style>
  <w:style w:type="paragraph" w:styleId="974">
    <w:name w:val="Noeeu1"/>
    <w:basedOn w:val="940"/>
    <w:link w:val="975"/>
    <w:pPr>
      <w:pBdr/>
      <w:spacing w:after="60"/>
      <w:ind/>
      <w:jc w:val="both"/>
    </w:pPr>
    <w:rPr>
      <w:b/>
    </w:rPr>
  </w:style>
  <w:style w:type="character" w:styleId="975">
    <w:name w:val="Noeeu1"/>
    <w:basedOn w:val="941"/>
    <w:link w:val="974"/>
    <w:pPr>
      <w:pBdr/>
      <w:spacing/>
      <w:ind/>
    </w:pPr>
    <w:rPr>
      <w:b/>
    </w:rPr>
  </w:style>
  <w:style w:type="paragraph" w:styleId="976">
    <w:name w:val="toc 7"/>
    <w:basedOn w:val="940"/>
    <w:next w:val="940"/>
    <w:link w:val="977"/>
    <w:uiPriority w:val="39"/>
    <w:pPr>
      <w:pBdr/>
      <w:spacing/>
      <w:ind w:firstLine="0" w:left="1200"/>
    </w:pPr>
  </w:style>
  <w:style w:type="character" w:styleId="977">
    <w:name w:val="toc 7"/>
    <w:basedOn w:val="941"/>
    <w:link w:val="976"/>
    <w:pPr>
      <w:pBdr/>
      <w:spacing/>
      <w:ind/>
    </w:pPr>
  </w:style>
  <w:style w:type="paragraph" w:styleId="978">
    <w:name w:val="caaieiaie 1"/>
    <w:basedOn w:val="940"/>
    <w:next w:val="1092"/>
    <w:link w:val="979"/>
    <w:pPr>
      <w:keepNext w:val="true"/>
      <w:keepLines w:val="true"/>
      <w:widowControl w:val="false"/>
      <w:pBdr/>
      <w:spacing w:after="60" w:before="120"/>
      <w:ind/>
    </w:pPr>
    <w:rPr>
      <w:b/>
      <w:sz w:val="28"/>
    </w:rPr>
  </w:style>
  <w:style w:type="character" w:styleId="979">
    <w:name w:val="caaieiaie 1"/>
    <w:basedOn w:val="941"/>
    <w:link w:val="978"/>
    <w:pPr>
      <w:pBdr/>
      <w:spacing/>
      <w:ind/>
    </w:pPr>
    <w:rPr>
      <w:b/>
      <w:sz w:val="28"/>
    </w:rPr>
  </w:style>
  <w:style w:type="paragraph" w:styleId="980">
    <w:name w:val="xl32"/>
    <w:basedOn w:val="940"/>
    <w:link w:val="981"/>
    <w:pPr>
      <w:pBdr/>
      <w:spacing w:after="100" w:before="100"/>
      <w:ind/>
    </w:pPr>
    <w:rPr>
      <w:b/>
    </w:rPr>
  </w:style>
  <w:style w:type="character" w:styleId="981">
    <w:name w:val="xl32"/>
    <w:basedOn w:val="941"/>
    <w:link w:val="980"/>
    <w:pPr>
      <w:pBdr/>
      <w:spacing/>
      <w:ind/>
    </w:pPr>
    <w:rPr>
      <w:b/>
    </w:rPr>
  </w:style>
  <w:style w:type="paragraph" w:styleId="982">
    <w:name w:val="No Spacing"/>
    <w:basedOn w:val="1082"/>
    <w:link w:val="983"/>
    <w:pPr>
      <w:pBdr/>
      <w:tabs>
        <w:tab w:val="left" w:leader="none" w:pos="1080"/>
      </w:tabs>
      <w:spacing w:after="80" w:before="240" w:line="240" w:lineRule="atLeast"/>
      <w:ind w:firstLine="720" w:left="0"/>
      <w:jc w:val="both"/>
    </w:pPr>
    <w:rPr>
      <w:rFonts w:ascii="Arial" w:hAnsi="Arial"/>
    </w:rPr>
  </w:style>
  <w:style w:type="character" w:styleId="983">
    <w:name w:val="No Spacing"/>
    <w:basedOn w:val="1083"/>
    <w:link w:val="982"/>
    <w:pPr>
      <w:pBdr/>
      <w:spacing/>
      <w:ind/>
    </w:pPr>
    <w:rPr>
      <w:rFonts w:ascii="Arial" w:hAnsi="Arial"/>
    </w:rPr>
  </w:style>
  <w:style w:type="paragraph" w:styleId="984">
    <w:name w:val="List"/>
    <w:basedOn w:val="940"/>
    <w:link w:val="985"/>
    <w:pPr>
      <w:pBdr/>
      <w:spacing/>
      <w:ind w:hanging="283" w:left="283"/>
    </w:pPr>
  </w:style>
  <w:style w:type="character" w:styleId="985">
    <w:name w:val="List"/>
    <w:basedOn w:val="941"/>
    <w:link w:val="984"/>
    <w:pPr>
      <w:pBdr/>
      <w:spacing/>
      <w:ind/>
    </w:pPr>
  </w:style>
  <w:style w:type="paragraph" w:styleId="986">
    <w:name w:val="Endnote"/>
    <w:link w:val="987"/>
    <w:pPr>
      <w:pBdr/>
      <w:spacing/>
      <w:ind w:firstLine="851" w:left="0"/>
      <w:jc w:val="both"/>
    </w:pPr>
    <w:rPr>
      <w:rFonts w:ascii="Arial" w:hAnsi="Arial"/>
      <w:sz w:val="22"/>
    </w:rPr>
  </w:style>
  <w:style w:type="character" w:styleId="987">
    <w:name w:val="Endnote"/>
    <w:link w:val="986"/>
    <w:pPr>
      <w:pBdr/>
      <w:spacing/>
      <w:ind/>
    </w:pPr>
    <w:rPr>
      <w:rFonts w:ascii="Arial" w:hAnsi="Arial"/>
      <w:sz w:val="22"/>
    </w:rPr>
  </w:style>
  <w:style w:type="paragraph" w:styleId="988">
    <w:name w:val="Heading 3"/>
    <w:basedOn w:val="940"/>
    <w:next w:val="940"/>
    <w:link w:val="989"/>
    <w:uiPriority w:val="9"/>
    <w:qFormat/>
    <w:pPr>
      <w:keepNext w:val="true"/>
      <w:widowControl w:val="false"/>
      <w:pBdr/>
      <w:spacing w:after="120" w:before="120"/>
      <w:ind/>
      <w:outlineLvl w:val="2"/>
    </w:pPr>
    <w:rPr>
      <w:b/>
    </w:rPr>
  </w:style>
  <w:style w:type="character" w:styleId="989">
    <w:name w:val="Heading 3"/>
    <w:basedOn w:val="941"/>
    <w:link w:val="988"/>
    <w:pPr>
      <w:pBdr/>
      <w:spacing/>
      <w:ind/>
    </w:pPr>
    <w:rPr>
      <w:b/>
    </w:rPr>
  </w:style>
  <w:style w:type="paragraph" w:styleId="990">
    <w:name w:val="wiki-staff"/>
    <w:basedOn w:val="1036"/>
    <w:link w:val="991"/>
    <w:pPr>
      <w:pBdr/>
      <w:spacing/>
      <w:ind/>
    </w:pPr>
  </w:style>
  <w:style w:type="character" w:styleId="991">
    <w:name w:val="wiki-staff"/>
    <w:basedOn w:val="1037"/>
    <w:link w:val="990"/>
    <w:pPr>
      <w:pBdr/>
      <w:spacing/>
      <w:ind/>
    </w:pPr>
  </w:style>
  <w:style w:type="paragraph" w:styleId="992">
    <w:name w:val="çàãîëîâîê 3"/>
    <w:basedOn w:val="940"/>
    <w:next w:val="940"/>
    <w:link w:val="993"/>
    <w:pPr>
      <w:keepNext w:val="true"/>
      <w:pBdr/>
      <w:spacing/>
      <w:ind/>
      <w:jc w:val="center"/>
    </w:pPr>
    <w:rPr>
      <w:b/>
      <w:sz w:val="22"/>
    </w:rPr>
  </w:style>
  <w:style w:type="character" w:styleId="993">
    <w:name w:val="çàãîëîâîê 3"/>
    <w:basedOn w:val="941"/>
    <w:link w:val="992"/>
    <w:pPr>
      <w:pBdr/>
      <w:spacing/>
      <w:ind/>
    </w:pPr>
    <w:rPr>
      <w:b/>
      <w:sz w:val="22"/>
    </w:rPr>
  </w:style>
  <w:style w:type="paragraph" w:styleId="994">
    <w:name w:val="Heading 9"/>
    <w:basedOn w:val="940"/>
    <w:next w:val="940"/>
    <w:link w:val="995"/>
    <w:uiPriority w:val="9"/>
    <w:qFormat/>
    <w:pPr>
      <w:keepNext w:val="true"/>
      <w:pBdr/>
      <w:spacing/>
      <w:ind/>
      <w:jc w:val="center"/>
      <w:outlineLvl w:val="8"/>
    </w:pPr>
    <w:rPr>
      <w:b/>
    </w:rPr>
  </w:style>
  <w:style w:type="character" w:styleId="995">
    <w:name w:val="Heading 9"/>
    <w:basedOn w:val="941"/>
    <w:link w:val="994"/>
    <w:pPr>
      <w:pBdr/>
      <w:spacing/>
      <w:ind/>
    </w:pPr>
    <w:rPr>
      <w:b/>
    </w:rPr>
  </w:style>
  <w:style w:type="paragraph" w:styleId="996">
    <w:name w:val="Header Base"/>
    <w:basedOn w:val="940"/>
    <w:link w:val="997"/>
    <w:pPr>
      <w:keepLines w:val="true"/>
      <w:pBdr/>
      <w:tabs>
        <w:tab w:val="center" w:leader="none" w:pos="4320"/>
        <w:tab w:val="right" w:leader="none" w:pos="8640"/>
      </w:tabs>
      <w:spacing w:before="20" w:line="190" w:lineRule="atLeast"/>
      <w:ind/>
      <w:jc w:val="both"/>
    </w:pPr>
  </w:style>
  <w:style w:type="character" w:styleId="997">
    <w:name w:val="Header Base"/>
    <w:basedOn w:val="941"/>
    <w:link w:val="996"/>
    <w:pPr>
      <w:pBdr/>
      <w:spacing/>
      <w:ind/>
    </w:pPr>
  </w:style>
  <w:style w:type="paragraph" w:styleId="998">
    <w:name w:val="Список 1"/>
    <w:basedOn w:val="940"/>
    <w:link w:val="999"/>
    <w:pPr>
      <w:numPr>
        <w:ilvl w:val="0"/>
        <w:numId w:val="2"/>
      </w:numPr>
      <w:pBdr/>
      <w:spacing/>
      <w:ind/>
      <w:jc w:val="both"/>
    </w:pPr>
  </w:style>
  <w:style w:type="character" w:styleId="999">
    <w:name w:val="Список 1"/>
    <w:basedOn w:val="941"/>
    <w:link w:val="998"/>
    <w:pPr>
      <w:pBdr/>
      <w:spacing/>
      <w:ind/>
    </w:pPr>
  </w:style>
  <w:style w:type="paragraph" w:styleId="1000">
    <w:name w:val="Caaieiaie i?eei?aiey"/>
    <w:basedOn w:val="940"/>
    <w:next w:val="940"/>
    <w:link w:val="1001"/>
    <w:pPr>
      <w:widowControl w:val="false"/>
      <w:pBdr/>
      <w:spacing w:before="60"/>
      <w:ind/>
      <w:jc w:val="center"/>
    </w:pPr>
    <w:rPr>
      <w:b/>
      <w:sz w:val="28"/>
    </w:rPr>
  </w:style>
  <w:style w:type="character" w:styleId="1001">
    <w:name w:val="Caaieiaie i?eei?aiey"/>
    <w:basedOn w:val="941"/>
    <w:link w:val="1000"/>
    <w:pPr>
      <w:pBdr/>
      <w:spacing/>
      <w:ind/>
    </w:pPr>
    <w:rPr>
      <w:b/>
      <w:sz w:val="28"/>
    </w:rPr>
  </w:style>
  <w:style w:type="paragraph" w:styleId="1002">
    <w:name w:val="xl35"/>
    <w:basedOn w:val="940"/>
    <w:link w:val="1003"/>
    <w:pPr>
      <w:pBdr/>
      <w:spacing w:after="100" w:before="100"/>
      <w:ind/>
    </w:pPr>
  </w:style>
  <w:style w:type="character" w:styleId="1003">
    <w:name w:val="xl35"/>
    <w:basedOn w:val="941"/>
    <w:link w:val="1002"/>
    <w:pPr>
      <w:pBdr/>
      <w:spacing/>
      <w:ind/>
    </w:pPr>
  </w:style>
  <w:style w:type="paragraph" w:styleId="1004">
    <w:name w:val="Обычный нумерованный"/>
    <w:basedOn w:val="1082"/>
    <w:link w:val="1005"/>
    <w:pPr>
      <w:keepLines w:val="true"/>
      <w:pBdr/>
      <w:spacing w:after="60" w:line="276" w:lineRule="auto"/>
      <w:ind/>
    </w:pPr>
    <w:rPr>
      <w:rFonts w:ascii="Arial" w:hAnsi="Arial"/>
      <w:sz w:val="22"/>
    </w:rPr>
  </w:style>
  <w:style w:type="character" w:styleId="1005">
    <w:name w:val="Обычный нумерованный"/>
    <w:basedOn w:val="1083"/>
    <w:link w:val="1004"/>
    <w:pPr>
      <w:pBdr/>
      <w:spacing/>
      <w:ind/>
    </w:pPr>
    <w:rPr>
      <w:rFonts w:ascii="Arial" w:hAnsi="Arial"/>
      <w:sz w:val="22"/>
    </w:rPr>
  </w:style>
  <w:style w:type="paragraph" w:styleId="1006">
    <w:name w:val="SH Heading 2"/>
    <w:basedOn w:val="940"/>
    <w:link w:val="1007"/>
    <w:pPr>
      <w:numPr>
        <w:ilvl w:val="1"/>
        <w:numId w:val="3"/>
      </w:numPr>
      <w:pBdr/>
      <w:spacing w:after="240" w:line="264" w:lineRule="auto"/>
      <w:ind/>
      <w:jc w:val="both"/>
    </w:pPr>
  </w:style>
  <w:style w:type="character" w:styleId="1007">
    <w:name w:val="SH Heading 2"/>
    <w:basedOn w:val="941"/>
    <w:link w:val="1006"/>
    <w:pPr>
      <w:pBdr/>
      <w:spacing/>
      <w:ind/>
    </w:pPr>
  </w:style>
  <w:style w:type="paragraph" w:styleId="1008">
    <w:name w:val="Heading - PLEASE USE SH STYLES"/>
    <w:basedOn w:val="940"/>
    <w:link w:val="1009"/>
    <w:pPr>
      <w:numPr>
        <w:ilvl w:val="5"/>
        <w:numId w:val="3"/>
      </w:numPr>
      <w:pBdr/>
      <w:spacing w:after="240" w:line="264" w:lineRule="auto"/>
      <w:ind/>
      <w:jc w:val="both"/>
    </w:pPr>
  </w:style>
  <w:style w:type="character" w:styleId="1009">
    <w:name w:val="Heading - PLEASE USE SH STYLES"/>
    <w:basedOn w:val="941"/>
    <w:link w:val="1008"/>
    <w:pPr>
      <w:pBdr/>
      <w:spacing/>
      <w:ind/>
    </w:pPr>
  </w:style>
  <w:style w:type="paragraph" w:styleId="1010">
    <w:name w:val="Body Text Indent"/>
    <w:basedOn w:val="940"/>
    <w:link w:val="1011"/>
    <w:pPr>
      <w:pBdr/>
      <w:tabs>
        <w:tab w:val="left" w:leader="none" w:pos="1843"/>
      </w:tabs>
      <w:spacing/>
      <w:ind w:right="-625" w:firstLine="567" w:left="0"/>
      <w:jc w:val="both"/>
    </w:pPr>
  </w:style>
  <w:style w:type="character" w:styleId="1011">
    <w:name w:val="Body Text Indent"/>
    <w:basedOn w:val="941"/>
    <w:link w:val="1010"/>
    <w:pPr>
      <w:pBdr/>
      <w:spacing/>
      <w:ind/>
    </w:pPr>
  </w:style>
  <w:style w:type="paragraph" w:styleId="1012">
    <w:name w:val="Название подразделов"/>
    <w:basedOn w:val="940"/>
    <w:link w:val="1013"/>
    <w:pPr>
      <w:pBdr/>
      <w:spacing/>
      <w:ind/>
      <w:jc w:val="center"/>
    </w:pPr>
    <w:rPr>
      <w:b/>
      <w:sz w:val="28"/>
    </w:rPr>
  </w:style>
  <w:style w:type="character" w:styleId="1013">
    <w:name w:val="Название подразделов"/>
    <w:basedOn w:val="941"/>
    <w:link w:val="1012"/>
    <w:pPr>
      <w:pBdr/>
      <w:spacing/>
      <w:ind/>
    </w:pPr>
    <w:rPr>
      <w:b/>
      <w:sz w:val="28"/>
    </w:rPr>
  </w:style>
  <w:style w:type="paragraph" w:styleId="1014">
    <w:name w:val="SH Heading 1"/>
    <w:link w:val="1015"/>
    <w:pPr>
      <w:keepNext w:val="true"/>
      <w:numPr>
        <w:ilvl w:val="0"/>
        <w:numId w:val="3"/>
      </w:numPr>
      <w:pBdr/>
      <w:spacing w:after="240" w:line="264" w:lineRule="auto"/>
      <w:ind/>
      <w:jc w:val="both"/>
    </w:pPr>
    <w:rPr>
      <w:rFonts w:ascii="Arial" w:hAnsi="Arial"/>
      <w:b/>
      <w:caps/>
      <w:sz w:val="22"/>
    </w:rPr>
  </w:style>
  <w:style w:type="character" w:styleId="1015">
    <w:name w:val="SH Heading 1"/>
    <w:link w:val="1014"/>
    <w:pPr>
      <w:pBdr/>
      <w:spacing/>
      <w:ind/>
    </w:pPr>
    <w:rPr>
      <w:rFonts w:ascii="Arial" w:hAnsi="Arial"/>
      <w:b/>
      <w:caps/>
      <w:sz w:val="22"/>
    </w:rPr>
  </w:style>
  <w:style w:type="paragraph" w:styleId="1016">
    <w:name w:val="Основной текст.Body Text 1"/>
    <w:basedOn w:val="940"/>
    <w:link w:val="1017"/>
    <w:pPr>
      <w:pBdr/>
      <w:spacing w:before="113"/>
      <w:ind/>
    </w:pPr>
  </w:style>
  <w:style w:type="character" w:styleId="1017">
    <w:name w:val="Основной текст.Body Text 1"/>
    <w:basedOn w:val="941"/>
    <w:link w:val="1016"/>
    <w:pPr>
      <w:pBdr/>
      <w:spacing/>
      <w:ind/>
    </w:pPr>
  </w:style>
  <w:style w:type="paragraph" w:styleId="1018">
    <w:name w:val="ConsNormal"/>
    <w:link w:val="1019"/>
    <w:pPr>
      <w:widowControl w:val="false"/>
      <w:pBdr/>
      <w:spacing/>
      <w:ind w:firstLine="720" w:left="0"/>
    </w:pPr>
    <w:rPr>
      <w:rFonts w:ascii="Arial" w:hAnsi="Arial"/>
    </w:rPr>
  </w:style>
  <w:style w:type="character" w:styleId="1019">
    <w:name w:val="ConsNormal"/>
    <w:link w:val="1018"/>
    <w:pPr>
      <w:pBdr/>
      <w:spacing/>
      <w:ind/>
    </w:pPr>
    <w:rPr>
      <w:rFonts w:ascii="Arial" w:hAnsi="Arial"/>
    </w:rPr>
  </w:style>
  <w:style w:type="paragraph" w:styleId="1020">
    <w:name w:val="Footnote"/>
    <w:link w:val="1021"/>
    <w:pPr>
      <w:pBdr/>
      <w:spacing/>
      <w:ind/>
    </w:pPr>
    <w:rPr>
      <w:rFonts w:ascii="Arial" w:hAnsi="Arial"/>
      <w:color w:val="000000"/>
      <w:sz w:val="22"/>
    </w:rPr>
  </w:style>
  <w:style w:type="character" w:styleId="1021">
    <w:name w:val="Footnote"/>
    <w:link w:val="1020"/>
    <w:pPr>
      <w:pBdr/>
      <w:spacing/>
      <w:ind/>
    </w:pPr>
    <w:rPr>
      <w:rFonts w:ascii="Arial" w:hAnsi="Arial"/>
      <w:color w:val="000000"/>
      <w:sz w:val="22"/>
    </w:rPr>
  </w:style>
  <w:style w:type="paragraph" w:styleId="1022">
    <w:name w:val="toc 3"/>
    <w:basedOn w:val="940"/>
    <w:next w:val="940"/>
    <w:link w:val="1023"/>
    <w:uiPriority w:val="39"/>
    <w:pPr>
      <w:pBdr/>
      <w:spacing/>
      <w:ind w:firstLine="0" w:left="240"/>
    </w:pPr>
  </w:style>
  <w:style w:type="character" w:styleId="1023">
    <w:name w:val="toc 3"/>
    <w:basedOn w:val="941"/>
    <w:link w:val="1022"/>
    <w:pPr>
      <w:pBdr/>
      <w:spacing/>
      <w:ind/>
    </w:pPr>
  </w:style>
  <w:style w:type="paragraph" w:styleId="1024">
    <w:name w:val="List Bullet"/>
    <w:basedOn w:val="940"/>
    <w:link w:val="1025"/>
    <w:pPr>
      <w:widowControl w:val="false"/>
      <w:pBdr/>
      <w:spacing w:before="60"/>
      <w:ind w:hanging="283" w:left="283"/>
      <w:jc w:val="both"/>
    </w:pPr>
  </w:style>
  <w:style w:type="character" w:styleId="1025">
    <w:name w:val="List Bullet"/>
    <w:basedOn w:val="941"/>
    <w:link w:val="1024"/>
    <w:pPr>
      <w:pBdr/>
      <w:spacing/>
      <w:ind/>
    </w:pPr>
  </w:style>
  <w:style w:type="paragraph" w:styleId="1026">
    <w:name w:val="Основной текст 21"/>
    <w:basedOn w:val="940"/>
    <w:link w:val="1027"/>
    <w:pPr>
      <w:pBdr/>
      <w:spacing/>
      <w:ind w:firstLine="284" w:left="0"/>
      <w:jc w:val="both"/>
    </w:pPr>
    <w:rPr>
      <w:sz w:val="22"/>
    </w:rPr>
  </w:style>
  <w:style w:type="character" w:styleId="1027">
    <w:name w:val="Основной текст 21"/>
    <w:basedOn w:val="941"/>
    <w:link w:val="1026"/>
    <w:pPr>
      <w:pBdr/>
      <w:spacing/>
      <w:ind/>
    </w:pPr>
    <w:rPr>
      <w:sz w:val="22"/>
    </w:rPr>
  </w:style>
  <w:style w:type="paragraph" w:styleId="1028">
    <w:name w:val="Heading 5"/>
    <w:basedOn w:val="940"/>
    <w:next w:val="940"/>
    <w:link w:val="1029"/>
    <w:uiPriority w:val="9"/>
    <w:qFormat/>
    <w:pPr>
      <w:keepNext w:val="true"/>
      <w:pBdr/>
      <w:spacing/>
      <w:ind/>
      <w:outlineLvl w:val="4"/>
    </w:pPr>
    <w:rPr>
      <w:b/>
      <w:color w:val="000000"/>
    </w:rPr>
  </w:style>
  <w:style w:type="character" w:styleId="1029">
    <w:name w:val="Heading 5"/>
    <w:basedOn w:val="941"/>
    <w:link w:val="1028"/>
    <w:pPr>
      <w:pBdr/>
      <w:spacing/>
      <w:ind/>
    </w:pPr>
    <w:rPr>
      <w:b/>
      <w:color w:val="000000"/>
    </w:rPr>
  </w:style>
  <w:style w:type="paragraph" w:styleId="1030">
    <w:name w:val="Основной шрифт"/>
    <w:link w:val="1031"/>
    <w:pPr>
      <w:pBdr/>
      <w:spacing/>
      <w:ind/>
    </w:pPr>
  </w:style>
  <w:style w:type="character" w:styleId="1031">
    <w:name w:val="Основной шрифт"/>
    <w:link w:val="1030"/>
    <w:pPr>
      <w:pBdr/>
      <w:spacing/>
      <w:ind/>
    </w:pPr>
  </w:style>
  <w:style w:type="paragraph" w:styleId="1032">
    <w:name w:val="Normal (Web)"/>
    <w:basedOn w:val="940"/>
    <w:link w:val="1033"/>
    <w:pPr>
      <w:pBdr/>
      <w:spacing w:afterAutospacing="1" w:beforeAutospacing="1"/>
      <w:ind/>
    </w:pPr>
  </w:style>
  <w:style w:type="character" w:styleId="1033">
    <w:name w:val="Normal (Web)"/>
    <w:basedOn w:val="941"/>
    <w:link w:val="1032"/>
    <w:pPr>
      <w:pBdr/>
      <w:spacing/>
      <w:ind/>
    </w:pPr>
  </w:style>
  <w:style w:type="paragraph" w:styleId="1034">
    <w:name w:val="Heading 1"/>
    <w:basedOn w:val="940"/>
    <w:next w:val="940"/>
    <w:link w:val="1035"/>
    <w:uiPriority w:val="9"/>
    <w:qFormat/>
    <w:pPr>
      <w:keepNext w:val="true"/>
      <w:pBdr/>
      <w:spacing/>
      <w:ind/>
      <w:jc w:val="both"/>
      <w:outlineLvl w:val="0"/>
    </w:pPr>
    <w:rPr>
      <w:b/>
      <w:sz w:val="22"/>
    </w:rPr>
  </w:style>
  <w:style w:type="character" w:styleId="1035">
    <w:name w:val="Heading 1"/>
    <w:basedOn w:val="941"/>
    <w:link w:val="1034"/>
    <w:pPr>
      <w:pBdr/>
      <w:spacing/>
      <w:ind/>
    </w:pPr>
    <w:rPr>
      <w:b/>
      <w:sz w:val="22"/>
    </w:rPr>
  </w:style>
  <w:style w:type="paragraph" w:styleId="1036">
    <w:name w:val="Default Paragraph Font"/>
    <w:link w:val="1037"/>
    <w:pPr>
      <w:pBdr/>
      <w:spacing/>
      <w:ind/>
    </w:pPr>
  </w:style>
  <w:style w:type="character" w:styleId="1037">
    <w:name w:val="Default Paragraph Font"/>
    <w:link w:val="1036"/>
    <w:pPr>
      <w:pBdr/>
      <w:spacing/>
      <w:ind/>
    </w:pPr>
  </w:style>
  <w:style w:type="paragraph" w:styleId="1038">
    <w:name w:val="Текст1"/>
    <w:basedOn w:val="940"/>
    <w:link w:val="1039"/>
    <w:pPr>
      <w:pBdr/>
      <w:spacing/>
      <w:ind/>
    </w:pPr>
    <w:rPr>
      <w:rFonts w:ascii="Courier New" w:hAnsi="Courier New"/>
    </w:rPr>
  </w:style>
  <w:style w:type="character" w:styleId="1039">
    <w:name w:val="Текст1"/>
    <w:basedOn w:val="941"/>
    <w:link w:val="1038"/>
    <w:pPr>
      <w:pBdr/>
      <w:spacing/>
      <w:ind/>
    </w:pPr>
    <w:rPr>
      <w:rFonts w:ascii="Courier New" w:hAnsi="Courier New"/>
    </w:rPr>
  </w:style>
  <w:style w:type="paragraph" w:styleId="1040">
    <w:name w:val="wiki-li"/>
    <w:basedOn w:val="940"/>
    <w:link w:val="1041"/>
    <w:pPr>
      <w:pBdr/>
      <w:spacing w:afterAutospacing="1" w:beforeAutospacing="1"/>
      <w:ind/>
    </w:pPr>
  </w:style>
  <w:style w:type="character" w:styleId="1041">
    <w:name w:val="wiki-li"/>
    <w:basedOn w:val="941"/>
    <w:link w:val="1040"/>
    <w:pPr>
      <w:pBdr/>
      <w:spacing/>
      <w:ind/>
    </w:pPr>
  </w:style>
  <w:style w:type="paragraph" w:styleId="1042">
    <w:name w:val="SH Heading 3"/>
    <w:basedOn w:val="940"/>
    <w:link w:val="1043"/>
    <w:pPr>
      <w:numPr>
        <w:ilvl w:val="2"/>
        <w:numId w:val="3"/>
      </w:numPr>
      <w:pBdr/>
      <w:spacing w:after="240" w:line="264" w:lineRule="auto"/>
      <w:ind/>
      <w:jc w:val="both"/>
    </w:pPr>
  </w:style>
  <w:style w:type="character" w:styleId="1043">
    <w:name w:val="SH Heading 3"/>
    <w:basedOn w:val="941"/>
    <w:link w:val="1042"/>
    <w:pPr>
      <w:pBdr/>
      <w:spacing/>
      <w:ind/>
    </w:pPr>
  </w:style>
  <w:style w:type="paragraph" w:styleId="1044">
    <w:name w:val="Название"/>
    <w:basedOn w:val="940"/>
    <w:link w:val="1045"/>
    <w:pPr>
      <w:pBdr/>
      <w:spacing/>
      <w:ind/>
      <w:jc w:val="center"/>
    </w:pPr>
    <w:rPr>
      <w:b/>
    </w:rPr>
  </w:style>
  <w:style w:type="character" w:styleId="1045">
    <w:name w:val="Название"/>
    <w:basedOn w:val="941"/>
    <w:link w:val="1044"/>
    <w:pPr>
      <w:pBdr/>
      <w:spacing/>
      <w:ind/>
    </w:pPr>
    <w:rPr>
      <w:b/>
    </w:rPr>
  </w:style>
  <w:style w:type="paragraph" w:styleId="1046">
    <w:name w:val="Hyperlink"/>
    <w:link w:val="1047"/>
    <w:pPr>
      <w:pBdr/>
      <w:spacing/>
      <w:ind/>
    </w:pPr>
    <w:rPr>
      <w:color w:val="0000ff"/>
      <w:u w:val="single"/>
    </w:rPr>
  </w:style>
  <w:style w:type="character" w:styleId="1047">
    <w:name w:val="Hyperlink"/>
    <w:link w:val="1046"/>
    <w:pPr>
      <w:pBdr/>
      <w:spacing/>
      <w:ind/>
    </w:pPr>
    <w:rPr>
      <w:color w:val="0000ff"/>
      <w:u w:val="single"/>
    </w:rPr>
  </w:style>
  <w:style w:type="paragraph" w:styleId="1048">
    <w:name w:val="Footnote"/>
    <w:basedOn w:val="940"/>
    <w:link w:val="1049"/>
    <w:pPr>
      <w:pBdr/>
      <w:spacing/>
      <w:ind/>
    </w:pPr>
  </w:style>
  <w:style w:type="character" w:styleId="1049">
    <w:name w:val="Footnote"/>
    <w:basedOn w:val="941"/>
    <w:link w:val="1048"/>
    <w:pPr>
      <w:pBdr/>
      <w:spacing/>
      <w:ind/>
    </w:pPr>
  </w:style>
  <w:style w:type="paragraph" w:styleId="1050">
    <w:name w:val="Heading 8"/>
    <w:basedOn w:val="940"/>
    <w:next w:val="940"/>
    <w:link w:val="1051"/>
    <w:uiPriority w:val="9"/>
    <w:qFormat/>
    <w:pPr>
      <w:keepNext w:val="true"/>
      <w:pBdr/>
      <w:spacing/>
      <w:ind/>
      <w:jc w:val="both"/>
      <w:outlineLvl w:val="7"/>
    </w:pPr>
    <w:rPr>
      <w:b/>
    </w:rPr>
  </w:style>
  <w:style w:type="character" w:styleId="1051">
    <w:name w:val="Heading 8"/>
    <w:basedOn w:val="941"/>
    <w:link w:val="1050"/>
    <w:pPr>
      <w:pBdr/>
      <w:spacing/>
      <w:ind/>
    </w:pPr>
    <w:rPr>
      <w:b/>
    </w:rPr>
  </w:style>
  <w:style w:type="paragraph" w:styleId="1052">
    <w:name w:val="SH Heading 4"/>
    <w:basedOn w:val="940"/>
    <w:link w:val="1053"/>
    <w:pPr>
      <w:numPr>
        <w:ilvl w:val="3"/>
        <w:numId w:val="3"/>
      </w:numPr>
      <w:pBdr/>
      <w:spacing w:after="240" w:line="264" w:lineRule="auto"/>
      <w:ind/>
      <w:jc w:val="both"/>
    </w:pPr>
  </w:style>
  <w:style w:type="character" w:styleId="1053">
    <w:name w:val="SH Heading 4"/>
    <w:basedOn w:val="941"/>
    <w:link w:val="1052"/>
    <w:pPr>
      <w:pBdr/>
      <w:spacing/>
      <w:ind/>
    </w:pPr>
  </w:style>
  <w:style w:type="paragraph" w:styleId="1054">
    <w:name w:val="footnote reference"/>
    <w:link w:val="1055"/>
    <w:pPr>
      <w:pBdr/>
      <w:spacing/>
      <w:ind/>
    </w:pPr>
    <w:rPr>
      <w:vertAlign w:val="superscript"/>
    </w:rPr>
  </w:style>
  <w:style w:type="character" w:styleId="1055">
    <w:name w:val="footnote reference"/>
    <w:link w:val="1054"/>
    <w:pPr>
      <w:pBdr/>
      <w:spacing/>
      <w:ind/>
    </w:pPr>
    <w:rPr>
      <w:vertAlign w:val="superscript"/>
    </w:rPr>
  </w:style>
  <w:style w:type="paragraph" w:styleId="1056">
    <w:name w:val="toc 1"/>
    <w:basedOn w:val="940"/>
    <w:next w:val="940"/>
    <w:link w:val="1057"/>
    <w:uiPriority w:val="39"/>
    <w:pPr>
      <w:pBdr/>
      <w:spacing w:before="360"/>
      <w:ind/>
    </w:pPr>
    <w:rPr>
      <w:b/>
      <w:caps/>
    </w:rPr>
  </w:style>
  <w:style w:type="character" w:styleId="1057">
    <w:name w:val="toc 1"/>
    <w:basedOn w:val="941"/>
    <w:link w:val="1056"/>
    <w:pPr>
      <w:pBdr/>
      <w:spacing/>
      <w:ind/>
    </w:pPr>
    <w:rPr>
      <w:b/>
      <w:caps/>
    </w:rPr>
  </w:style>
  <w:style w:type="paragraph" w:styleId="1058">
    <w:name w:val="çàãîëîâîê 4"/>
    <w:basedOn w:val="940"/>
    <w:next w:val="940"/>
    <w:link w:val="1059"/>
    <w:pPr>
      <w:keepNext w:val="true"/>
      <w:pBdr/>
      <w:spacing/>
      <w:ind w:firstLine="20" w:left="0"/>
      <w:jc w:val="right"/>
    </w:pPr>
    <w:rPr>
      <w:b/>
    </w:rPr>
  </w:style>
  <w:style w:type="character" w:styleId="1059">
    <w:name w:val="çàãîëîâîê 4"/>
    <w:basedOn w:val="941"/>
    <w:link w:val="1058"/>
    <w:pPr>
      <w:pBdr/>
      <w:spacing/>
      <w:ind/>
    </w:pPr>
    <w:rPr>
      <w:b/>
    </w:rPr>
  </w:style>
  <w:style w:type="paragraph" w:styleId="1060">
    <w:name w:val="Document Map"/>
    <w:basedOn w:val="940"/>
    <w:link w:val="1061"/>
    <w:pPr>
      <w:pBdr/>
      <w:spacing/>
      <w:ind/>
    </w:pPr>
    <w:rPr>
      <w:rFonts w:ascii="Tahoma" w:hAnsi="Tahoma"/>
    </w:rPr>
  </w:style>
  <w:style w:type="character" w:styleId="1061">
    <w:name w:val="Document Map"/>
    <w:basedOn w:val="941"/>
    <w:link w:val="1060"/>
    <w:pPr>
      <w:pBdr/>
      <w:spacing/>
      <w:ind/>
    </w:pPr>
    <w:rPr>
      <w:rFonts w:ascii="Tahoma" w:hAnsi="Tahoma"/>
    </w:rPr>
  </w:style>
  <w:style w:type="paragraph" w:styleId="1062">
    <w:name w:val="Header"/>
    <w:basedOn w:val="940"/>
    <w:link w:val="1063"/>
    <w:pPr>
      <w:pBdr/>
      <w:tabs>
        <w:tab w:val="center" w:leader="none" w:pos="4677"/>
        <w:tab w:val="right" w:leader="none" w:pos="9355"/>
      </w:tabs>
      <w:spacing/>
      <w:ind/>
    </w:pPr>
  </w:style>
  <w:style w:type="character" w:styleId="1063">
    <w:name w:val="Header"/>
    <w:basedOn w:val="941"/>
    <w:link w:val="1062"/>
    <w:pPr>
      <w:pBdr/>
      <w:spacing/>
      <w:ind/>
    </w:pPr>
  </w:style>
  <w:style w:type="paragraph" w:styleId="1064">
    <w:name w:val="Header and Footer"/>
    <w:link w:val="1065"/>
    <w:pPr>
      <w:pBdr/>
      <w:spacing w:line="240" w:lineRule="auto"/>
      <w:ind/>
      <w:jc w:val="both"/>
    </w:pPr>
    <w:rPr>
      <w:rFonts w:ascii="Arial" w:hAnsi="Arial"/>
      <w:sz w:val="28"/>
    </w:rPr>
  </w:style>
  <w:style w:type="character" w:styleId="1065">
    <w:name w:val="Header and Footer"/>
    <w:link w:val="1064"/>
    <w:pPr>
      <w:pBdr/>
      <w:spacing/>
      <w:ind/>
    </w:pPr>
    <w:rPr>
      <w:rFonts w:ascii="Arial" w:hAnsi="Arial"/>
      <w:sz w:val="28"/>
    </w:rPr>
  </w:style>
  <w:style w:type="paragraph" w:styleId="1066">
    <w:name w:val="Body Text 2"/>
    <w:basedOn w:val="940"/>
    <w:link w:val="1067"/>
    <w:pPr>
      <w:widowControl w:val="false"/>
      <w:pBdr/>
      <w:spacing/>
      <w:ind/>
      <w:jc w:val="both"/>
    </w:pPr>
  </w:style>
  <w:style w:type="character" w:styleId="1067">
    <w:name w:val="Body Text 2"/>
    <w:basedOn w:val="941"/>
    <w:link w:val="1066"/>
    <w:pPr>
      <w:pBdr/>
      <w:spacing/>
      <w:ind/>
    </w:pPr>
  </w:style>
  <w:style w:type="paragraph" w:styleId="1068">
    <w:name w:val="Body"/>
    <w:link w:val="1069"/>
    <w:pPr>
      <w:pBdr/>
      <w:spacing/>
      <w:ind/>
    </w:pPr>
    <w:rPr>
      <w:rFonts w:ascii="Arial" w:hAnsi="Arial"/>
      <w:color w:val="000000"/>
      <w:sz w:val="22"/>
    </w:rPr>
  </w:style>
  <w:style w:type="character" w:styleId="1069">
    <w:name w:val="Body"/>
    <w:link w:val="1068"/>
    <w:pPr>
      <w:pBdr/>
      <w:spacing/>
      <w:ind/>
    </w:pPr>
    <w:rPr>
      <w:rFonts w:ascii="Arial" w:hAnsi="Arial"/>
      <w:color w:val="000000"/>
      <w:sz w:val="22"/>
    </w:rPr>
  </w:style>
  <w:style w:type="paragraph" w:styleId="1070">
    <w:name w:val="CI - Основной текст"/>
    <w:link w:val="1071"/>
    <w:pPr>
      <w:pBdr/>
      <w:spacing w:after="120" w:before="120"/>
      <w:ind w:firstLine="0" w:left="2518"/>
      <w:jc w:val="both"/>
    </w:pPr>
    <w:rPr>
      <w:sz w:val="22"/>
    </w:rPr>
  </w:style>
  <w:style w:type="character" w:styleId="1071">
    <w:name w:val="CI - Основной текст"/>
    <w:link w:val="1070"/>
    <w:pPr>
      <w:pBdr/>
      <w:spacing/>
      <w:ind/>
    </w:pPr>
    <w:rPr>
      <w:sz w:val="22"/>
    </w:rPr>
  </w:style>
  <w:style w:type="paragraph" w:styleId="1072">
    <w:name w:val="annotation reference"/>
    <w:link w:val="1073"/>
    <w:pPr>
      <w:pBdr/>
      <w:spacing/>
      <w:ind/>
    </w:pPr>
    <w:rPr>
      <w:sz w:val="16"/>
    </w:rPr>
  </w:style>
  <w:style w:type="character" w:styleId="1073">
    <w:name w:val="annotation reference"/>
    <w:link w:val="1072"/>
    <w:pPr>
      <w:pBdr/>
      <w:spacing/>
      <w:ind/>
    </w:pPr>
    <w:rPr>
      <w:sz w:val="16"/>
    </w:rPr>
  </w:style>
  <w:style w:type="paragraph" w:styleId="1074">
    <w:name w:val="FollowedHyperlink"/>
    <w:link w:val="1075"/>
    <w:pPr>
      <w:pBdr/>
      <w:spacing/>
      <w:ind/>
    </w:pPr>
    <w:rPr>
      <w:color w:val="800080"/>
      <w:u w:val="single"/>
    </w:rPr>
  </w:style>
  <w:style w:type="character" w:styleId="1075">
    <w:name w:val="FollowedHyperlink"/>
    <w:link w:val="1074"/>
    <w:pPr>
      <w:pBdr/>
      <w:spacing/>
      <w:ind/>
    </w:pPr>
    <w:rPr>
      <w:color w:val="800080"/>
      <w:u w:val="single"/>
    </w:rPr>
  </w:style>
  <w:style w:type="paragraph" w:styleId="1076">
    <w:name w:val="List Number"/>
    <w:basedOn w:val="984"/>
    <w:link w:val="1077"/>
    <w:pPr>
      <w:keepNext w:val="true"/>
      <w:keepLines w:val="true"/>
      <w:pBdr/>
      <w:spacing w:after="240" w:line="240" w:lineRule="atLeast"/>
      <w:ind w:right="720" w:hanging="360" w:left="720"/>
      <w:jc w:val="both"/>
    </w:pPr>
    <w:rPr>
      <w:sz w:val="22"/>
    </w:rPr>
  </w:style>
  <w:style w:type="character" w:styleId="1077">
    <w:name w:val="List Number"/>
    <w:basedOn w:val="985"/>
    <w:link w:val="1076"/>
    <w:pPr>
      <w:pBdr/>
      <w:spacing/>
      <w:ind/>
    </w:pPr>
    <w:rPr>
      <w:sz w:val="22"/>
    </w:rPr>
  </w:style>
  <w:style w:type="paragraph" w:styleId="1078">
    <w:name w:val="toc 9"/>
    <w:basedOn w:val="940"/>
    <w:next w:val="940"/>
    <w:link w:val="1079"/>
    <w:uiPriority w:val="39"/>
    <w:pPr>
      <w:pBdr/>
      <w:spacing/>
      <w:ind w:firstLine="0" w:left="1680"/>
    </w:pPr>
  </w:style>
  <w:style w:type="character" w:styleId="1079">
    <w:name w:val="toc 9"/>
    <w:basedOn w:val="941"/>
    <w:link w:val="1078"/>
    <w:pPr>
      <w:pBdr/>
      <w:spacing/>
      <w:ind/>
    </w:pPr>
  </w:style>
  <w:style w:type="paragraph" w:styleId="1080">
    <w:name w:val="caaieiaie 4"/>
    <w:basedOn w:val="940"/>
    <w:next w:val="940"/>
    <w:link w:val="1081"/>
    <w:pPr>
      <w:keepNext w:val="true"/>
      <w:widowControl w:val="false"/>
      <w:pBdr/>
      <w:spacing/>
      <w:ind/>
      <w:jc w:val="center"/>
    </w:pPr>
    <w:rPr>
      <w:b/>
      <w:sz w:val="40"/>
    </w:rPr>
  </w:style>
  <w:style w:type="character" w:styleId="1081">
    <w:name w:val="caaieiaie 4"/>
    <w:basedOn w:val="941"/>
    <w:link w:val="1080"/>
    <w:pPr>
      <w:pBdr/>
      <w:spacing/>
      <w:ind/>
    </w:pPr>
    <w:rPr>
      <w:b/>
      <w:sz w:val="40"/>
    </w:rPr>
  </w:style>
  <w:style w:type="paragraph" w:styleId="1082">
    <w:name w:val="List Paragraph"/>
    <w:basedOn w:val="940"/>
    <w:link w:val="1083"/>
    <w:pPr>
      <w:pBdr/>
      <w:spacing/>
      <w:ind/>
      <w:contextualSpacing w:val="true"/>
    </w:pPr>
    <w:rPr>
      <w:rFonts w:ascii="Arial" w:hAnsi="Arial"/>
    </w:rPr>
  </w:style>
  <w:style w:type="character" w:styleId="1083">
    <w:name w:val="List Paragraph"/>
    <w:basedOn w:val="941"/>
    <w:link w:val="1082"/>
    <w:pPr>
      <w:pBdr/>
      <w:spacing/>
      <w:ind/>
    </w:pPr>
    <w:rPr>
      <w:rFonts w:ascii="Arial" w:hAnsi="Arial"/>
    </w:rPr>
  </w:style>
  <w:style w:type="paragraph" w:styleId="1084">
    <w:name w:val="Aioiaue"/>
    <w:basedOn w:val="940"/>
    <w:link w:val="1085"/>
    <w:pPr>
      <w:pBd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ind/>
    </w:pPr>
    <w:rPr>
      <w:rFonts w:ascii="Courier New" w:hAnsi="Courier New"/>
    </w:rPr>
  </w:style>
  <w:style w:type="character" w:styleId="1085">
    <w:name w:val="Aioiaue"/>
    <w:basedOn w:val="941"/>
    <w:link w:val="1084"/>
    <w:pPr>
      <w:pBdr/>
      <w:spacing/>
      <w:ind/>
    </w:pPr>
    <w:rPr>
      <w:rFonts w:ascii="Courier New" w:hAnsi="Courier New"/>
    </w:rPr>
  </w:style>
  <w:style w:type="paragraph" w:styleId="1086">
    <w:name w:val="toc 8"/>
    <w:basedOn w:val="940"/>
    <w:next w:val="940"/>
    <w:link w:val="1087"/>
    <w:uiPriority w:val="39"/>
    <w:pPr>
      <w:pBdr/>
      <w:spacing/>
      <w:ind w:firstLine="0" w:left="1440"/>
    </w:pPr>
  </w:style>
  <w:style w:type="character" w:styleId="1087">
    <w:name w:val="toc 8"/>
    <w:basedOn w:val="941"/>
    <w:link w:val="1086"/>
    <w:pPr>
      <w:pBdr/>
      <w:spacing/>
      <w:ind/>
    </w:pPr>
  </w:style>
  <w:style w:type="paragraph" w:styleId="1088">
    <w:name w:val="HTML Preformatted"/>
    <w:basedOn w:val="940"/>
    <w:link w:val="1089"/>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ind/>
    </w:pPr>
    <w:rPr>
      <w:rFonts w:ascii="Courier New" w:hAnsi="Courier New"/>
    </w:rPr>
  </w:style>
  <w:style w:type="character" w:styleId="1089">
    <w:name w:val="HTML Preformatted"/>
    <w:basedOn w:val="941"/>
    <w:link w:val="1088"/>
    <w:pPr>
      <w:pBdr/>
      <w:spacing/>
      <w:ind/>
    </w:pPr>
    <w:rPr>
      <w:rFonts w:ascii="Courier New" w:hAnsi="Courier New"/>
    </w:rPr>
  </w:style>
  <w:style w:type="paragraph" w:styleId="1090">
    <w:name w:val="annotation subject"/>
    <w:basedOn w:val="1128"/>
    <w:next w:val="1128"/>
    <w:link w:val="1091"/>
    <w:pPr>
      <w:pBdr/>
      <w:spacing/>
      <w:ind/>
    </w:pPr>
    <w:rPr>
      <w:b/>
    </w:rPr>
  </w:style>
  <w:style w:type="character" w:styleId="1091">
    <w:name w:val="annotation subject"/>
    <w:basedOn w:val="1129"/>
    <w:link w:val="1090"/>
    <w:pPr>
      <w:pBdr/>
      <w:spacing/>
      <w:ind/>
    </w:pPr>
    <w:rPr>
      <w:b/>
    </w:rPr>
  </w:style>
  <w:style w:type="paragraph" w:styleId="1092">
    <w:name w:val="caaieiaie 2"/>
    <w:basedOn w:val="940"/>
    <w:link w:val="1093"/>
    <w:pPr>
      <w:widowControl w:val="false"/>
      <w:pBdr/>
      <w:spacing w:before="60"/>
      <w:ind/>
      <w:jc w:val="both"/>
    </w:pPr>
  </w:style>
  <w:style w:type="character" w:styleId="1093">
    <w:name w:val="caaieiaie 2"/>
    <w:basedOn w:val="941"/>
    <w:link w:val="1092"/>
    <w:pPr>
      <w:pBdr/>
      <w:spacing/>
      <w:ind/>
    </w:pPr>
  </w:style>
  <w:style w:type="paragraph" w:styleId="1094">
    <w:name w:val="List Bulleted"/>
    <w:basedOn w:val="940"/>
    <w:link w:val="1095"/>
    <w:pPr>
      <w:pBdr/>
      <w:spacing w:before="62"/>
      <w:ind/>
    </w:pPr>
  </w:style>
  <w:style w:type="character" w:styleId="1095">
    <w:name w:val="List Bulleted"/>
    <w:basedOn w:val="941"/>
    <w:link w:val="1094"/>
    <w:pPr>
      <w:pBdr/>
      <w:spacing/>
      <w:ind/>
    </w:pPr>
  </w:style>
  <w:style w:type="paragraph" w:styleId="1096">
    <w:name w:val="Balloon Text"/>
    <w:basedOn w:val="940"/>
    <w:link w:val="1097"/>
    <w:pPr>
      <w:pBdr/>
      <w:spacing/>
      <w:ind/>
    </w:pPr>
    <w:rPr>
      <w:rFonts w:ascii="Tahoma" w:hAnsi="Tahoma"/>
      <w:sz w:val="16"/>
    </w:rPr>
  </w:style>
  <w:style w:type="character" w:styleId="1097">
    <w:name w:val="Balloon Text"/>
    <w:basedOn w:val="941"/>
    <w:link w:val="1096"/>
    <w:pPr>
      <w:pBdr/>
      <w:spacing/>
      <w:ind/>
    </w:pPr>
    <w:rPr>
      <w:rFonts w:ascii="Tahoma" w:hAnsi="Tahoma"/>
      <w:sz w:val="16"/>
    </w:rPr>
  </w:style>
  <w:style w:type="paragraph" w:styleId="1098">
    <w:name w:val="toc 5"/>
    <w:basedOn w:val="940"/>
    <w:next w:val="940"/>
    <w:link w:val="1099"/>
    <w:uiPriority w:val="39"/>
    <w:pPr>
      <w:pBdr/>
      <w:spacing/>
      <w:ind w:firstLine="0" w:left="720"/>
    </w:pPr>
  </w:style>
  <w:style w:type="character" w:styleId="1099">
    <w:name w:val="toc 5"/>
    <w:basedOn w:val="941"/>
    <w:link w:val="1098"/>
    <w:pPr>
      <w:pBdr/>
      <w:spacing/>
      <w:ind/>
    </w:pPr>
  </w:style>
  <w:style w:type="paragraph" w:styleId="1100">
    <w:name w:val="Основной текст с отступом 31"/>
    <w:basedOn w:val="940"/>
    <w:link w:val="1101"/>
    <w:pPr>
      <w:pBdr/>
      <w:spacing/>
      <w:ind w:firstLine="20" w:left="0"/>
      <w:jc w:val="both"/>
    </w:pPr>
  </w:style>
  <w:style w:type="character" w:styleId="1101">
    <w:name w:val="Основной текст с отступом 31"/>
    <w:basedOn w:val="941"/>
    <w:link w:val="1100"/>
    <w:pPr>
      <w:pBdr/>
      <w:spacing/>
      <w:ind/>
    </w:pPr>
  </w:style>
  <w:style w:type="paragraph" w:styleId="1102">
    <w:name w:val="caaieiaie 3"/>
    <w:basedOn w:val="940"/>
    <w:next w:val="940"/>
    <w:link w:val="1103"/>
    <w:pPr>
      <w:keepNext w:val="true"/>
      <w:widowControl w:val="false"/>
      <w:pBdr/>
      <w:spacing w:before="240"/>
      <w:ind/>
      <w:jc w:val="center"/>
    </w:pPr>
    <w:rPr>
      <w:b/>
      <w:sz w:val="36"/>
    </w:rPr>
  </w:style>
  <w:style w:type="character" w:styleId="1103">
    <w:name w:val="caaieiaie 3"/>
    <w:basedOn w:val="941"/>
    <w:link w:val="1102"/>
    <w:pPr>
      <w:pBdr/>
      <w:spacing/>
      <w:ind/>
    </w:pPr>
    <w:rPr>
      <w:b/>
      <w:sz w:val="36"/>
    </w:rPr>
  </w:style>
  <w:style w:type="paragraph" w:styleId="1104">
    <w:name w:val="Heading"/>
    <w:next w:val="1068"/>
    <w:link w:val="1105"/>
    <w:pPr>
      <w:keepNext w:val="true"/>
      <w:pBdr/>
      <w:spacing/>
      <w:ind/>
      <w:outlineLvl w:val="0"/>
    </w:pPr>
    <w:rPr>
      <w:rFonts w:ascii="Arial" w:hAnsi="Arial"/>
      <w:b/>
      <w:color w:val="000000"/>
      <w:sz w:val="36"/>
    </w:rPr>
  </w:style>
  <w:style w:type="character" w:styleId="1105">
    <w:name w:val="Heading"/>
    <w:link w:val="1104"/>
    <w:pPr>
      <w:pBdr/>
      <w:spacing/>
      <w:ind/>
    </w:pPr>
    <w:rPr>
      <w:rFonts w:ascii="Arial" w:hAnsi="Arial"/>
      <w:b/>
      <w:color w:val="000000"/>
      <w:sz w:val="36"/>
    </w:rPr>
  </w:style>
  <w:style w:type="paragraph" w:styleId="1106">
    <w:name w:val="Неразрешенное упоминание1"/>
    <w:basedOn w:val="1036"/>
    <w:link w:val="1107"/>
    <w:pPr>
      <w:pBdr/>
      <w:spacing/>
      <w:ind/>
    </w:pPr>
    <w:rPr>
      <w:color w:val="605e5c"/>
      <w:shd w:val="clear" w:color="auto" w:fill="e1dfdd"/>
    </w:rPr>
  </w:style>
  <w:style w:type="character" w:styleId="1107">
    <w:name w:val="Неразрешенное упоминание1"/>
    <w:basedOn w:val="1037"/>
    <w:link w:val="1106"/>
    <w:pPr>
      <w:pBdr/>
      <w:spacing/>
      <w:ind/>
    </w:pPr>
    <w:rPr>
      <w:color w:val="605e5c"/>
      <w:shd w:val="clear" w:color="auto" w:fill="e1dfdd"/>
    </w:rPr>
  </w:style>
  <w:style w:type="paragraph" w:styleId="1108">
    <w:name w:val="wiki-remark"/>
    <w:link w:val="1109"/>
    <w:pPr>
      <w:pBdr/>
      <w:spacing/>
      <w:ind/>
    </w:pPr>
  </w:style>
  <w:style w:type="character" w:styleId="1109">
    <w:name w:val="wiki-remark"/>
    <w:link w:val="1108"/>
    <w:pPr>
      <w:pBdr/>
      <w:spacing/>
      <w:ind/>
    </w:pPr>
  </w:style>
  <w:style w:type="paragraph" w:styleId="1110">
    <w:name w:val="Unresolved Mention"/>
    <w:basedOn w:val="1036"/>
    <w:link w:val="1111"/>
    <w:pPr>
      <w:pBdr/>
      <w:spacing/>
      <w:ind/>
    </w:pPr>
    <w:rPr>
      <w:color w:val="605e5c"/>
      <w:shd w:val="clear" w:color="auto" w:fill="e1dfdd"/>
    </w:rPr>
  </w:style>
  <w:style w:type="character" w:styleId="1111">
    <w:name w:val="Unresolved Mention"/>
    <w:basedOn w:val="1037"/>
    <w:link w:val="1110"/>
    <w:pPr>
      <w:pBdr/>
      <w:spacing/>
      <w:ind/>
    </w:pPr>
    <w:rPr>
      <w:color w:val="605e5c"/>
      <w:shd w:val="clear" w:color="auto" w:fill="e1dfdd"/>
    </w:rPr>
  </w:style>
  <w:style w:type="paragraph" w:styleId="1112">
    <w:name w:val="Emphasis"/>
    <w:link w:val="1113"/>
    <w:pPr>
      <w:pBdr/>
      <w:spacing/>
      <w:ind/>
    </w:pPr>
    <w:rPr>
      <w:i/>
    </w:rPr>
  </w:style>
  <w:style w:type="character" w:styleId="1113">
    <w:name w:val="Emphasis"/>
    <w:link w:val="1112"/>
    <w:pPr>
      <w:pBdr/>
      <w:spacing/>
      <w:ind/>
    </w:pPr>
    <w:rPr>
      <w:i/>
    </w:rPr>
  </w:style>
  <w:style w:type="paragraph" w:styleId="1114">
    <w:name w:val="Subtitle"/>
    <w:next w:val="940"/>
    <w:link w:val="1115"/>
    <w:uiPriority w:val="11"/>
    <w:qFormat/>
    <w:pPr>
      <w:pBdr/>
      <w:spacing/>
      <w:ind/>
      <w:jc w:val="both"/>
    </w:pPr>
    <w:rPr>
      <w:rFonts w:ascii="Arial" w:hAnsi="Arial"/>
      <w:i/>
      <w:sz w:val="24"/>
    </w:rPr>
  </w:style>
  <w:style w:type="character" w:styleId="1115">
    <w:name w:val="Subtitle"/>
    <w:link w:val="1114"/>
    <w:pPr>
      <w:pBdr/>
      <w:spacing/>
      <w:ind/>
    </w:pPr>
    <w:rPr>
      <w:rFonts w:ascii="Arial" w:hAnsi="Arial"/>
      <w:i/>
      <w:sz w:val="24"/>
    </w:rPr>
  </w:style>
  <w:style w:type="paragraph" w:styleId="1116">
    <w:name w:val="wiki-username__first-letter"/>
    <w:basedOn w:val="1036"/>
    <w:link w:val="1117"/>
    <w:pPr>
      <w:pBdr/>
      <w:spacing/>
      <w:ind/>
    </w:pPr>
  </w:style>
  <w:style w:type="character" w:styleId="1117">
    <w:name w:val="wiki-username__first-letter"/>
    <w:basedOn w:val="1037"/>
    <w:link w:val="1116"/>
    <w:pPr>
      <w:pBdr/>
      <w:spacing/>
      <w:ind/>
    </w:pPr>
  </w:style>
  <w:style w:type="paragraph" w:styleId="1118">
    <w:name w:val="Body Text Indent 2"/>
    <w:basedOn w:val="940"/>
    <w:link w:val="1119"/>
    <w:pPr>
      <w:pBdr/>
      <w:spacing/>
      <w:ind w:firstLine="709" w:left="0"/>
      <w:jc w:val="both"/>
    </w:pPr>
  </w:style>
  <w:style w:type="character" w:styleId="1119">
    <w:name w:val="Body Text Indent 2"/>
    <w:basedOn w:val="941"/>
    <w:link w:val="1118"/>
    <w:pPr>
      <w:pBdr/>
      <w:spacing/>
      <w:ind/>
    </w:pPr>
  </w:style>
  <w:style w:type="paragraph" w:styleId="1120">
    <w:name w:val="Title"/>
    <w:basedOn w:val="940"/>
    <w:next w:val="940"/>
    <w:link w:val="1121"/>
    <w:uiPriority w:val="10"/>
    <w:qFormat/>
    <w:pPr>
      <w:pBdr/>
      <w:spacing/>
      <w:ind/>
      <w:contextualSpacing w:val="true"/>
      <w:jc w:val="center"/>
    </w:pPr>
    <w:rPr>
      <w:b/>
      <w:spacing w:val="-10"/>
      <w:sz w:val="28"/>
    </w:rPr>
  </w:style>
  <w:style w:type="character" w:styleId="1121">
    <w:name w:val="Title"/>
    <w:basedOn w:val="941"/>
    <w:link w:val="1120"/>
    <w:pPr>
      <w:pBdr/>
      <w:spacing/>
      <w:ind/>
    </w:pPr>
    <w:rPr>
      <w:b/>
      <w:spacing w:val="-10"/>
      <w:sz w:val="28"/>
    </w:rPr>
  </w:style>
  <w:style w:type="paragraph" w:styleId="1122">
    <w:name w:val="caaieiaie 9"/>
    <w:basedOn w:val="940"/>
    <w:next w:val="940"/>
    <w:link w:val="1123"/>
    <w:pPr>
      <w:widowControl w:val="false"/>
      <w:pBdr/>
      <w:spacing w:before="60"/>
      <w:ind/>
      <w:jc w:val="both"/>
    </w:pPr>
  </w:style>
  <w:style w:type="character" w:styleId="1123">
    <w:name w:val="caaieiaie 9"/>
    <w:basedOn w:val="941"/>
    <w:link w:val="1122"/>
    <w:pPr>
      <w:pBdr/>
      <w:spacing/>
      <w:ind/>
    </w:pPr>
  </w:style>
  <w:style w:type="paragraph" w:styleId="1124">
    <w:name w:val="Heading 4"/>
    <w:basedOn w:val="940"/>
    <w:next w:val="940"/>
    <w:link w:val="1125"/>
    <w:uiPriority w:val="9"/>
    <w:qFormat/>
    <w:pPr>
      <w:keepNext w:val="true"/>
      <w:pBdr/>
      <w:spacing/>
      <w:ind w:firstLine="20" w:left="0"/>
      <w:outlineLvl w:val="3"/>
    </w:pPr>
    <w:rPr>
      <w:b/>
    </w:rPr>
  </w:style>
  <w:style w:type="character" w:styleId="1125">
    <w:name w:val="Heading 4"/>
    <w:basedOn w:val="941"/>
    <w:link w:val="1124"/>
    <w:pPr>
      <w:pBdr/>
      <w:spacing/>
      <w:ind/>
    </w:pPr>
    <w:rPr>
      <w:b/>
    </w:rPr>
  </w:style>
  <w:style w:type="paragraph" w:styleId="1126">
    <w:name w:val="Îñíîâíîé òåêñò 2"/>
    <w:basedOn w:val="940"/>
    <w:link w:val="1127"/>
    <w:pPr>
      <w:widowControl w:val="false"/>
      <w:pBdr/>
      <w:spacing/>
      <w:ind/>
    </w:pPr>
  </w:style>
  <w:style w:type="character" w:styleId="1127">
    <w:name w:val="Îñíîâíîé òåêñò 2"/>
    <w:basedOn w:val="941"/>
    <w:link w:val="1126"/>
    <w:pPr>
      <w:pBdr/>
      <w:spacing/>
      <w:ind/>
    </w:pPr>
  </w:style>
  <w:style w:type="paragraph" w:styleId="1128">
    <w:name w:val="annotation text"/>
    <w:basedOn w:val="940"/>
    <w:link w:val="1129"/>
    <w:pPr>
      <w:pBdr/>
      <w:spacing/>
      <w:ind/>
    </w:pPr>
  </w:style>
  <w:style w:type="character" w:styleId="1129">
    <w:name w:val="annotation text"/>
    <w:basedOn w:val="941"/>
    <w:link w:val="1128"/>
    <w:pPr>
      <w:pBdr/>
      <w:spacing/>
      <w:ind/>
    </w:pPr>
  </w:style>
  <w:style w:type="paragraph" w:styleId="1130">
    <w:name w:val="endnote reference"/>
    <w:link w:val="1131"/>
    <w:pPr>
      <w:pBdr/>
      <w:spacing/>
      <w:ind/>
    </w:pPr>
    <w:rPr>
      <w:vertAlign w:val="superscript"/>
    </w:rPr>
  </w:style>
  <w:style w:type="character" w:styleId="1131">
    <w:name w:val="endnote reference"/>
    <w:link w:val="1130"/>
    <w:pPr>
      <w:pBdr/>
      <w:spacing/>
      <w:ind/>
    </w:pPr>
    <w:rPr>
      <w:vertAlign w:val="superscript"/>
    </w:rPr>
  </w:style>
  <w:style w:type="paragraph" w:styleId="1132">
    <w:name w:val="Heading 2"/>
    <w:basedOn w:val="940"/>
    <w:next w:val="940"/>
    <w:link w:val="1133"/>
    <w:uiPriority w:val="9"/>
    <w:qFormat/>
    <w:pPr>
      <w:keepNext w:val="true"/>
      <w:widowControl w:val="false"/>
      <w:numPr>
        <w:ilvl w:val="0"/>
        <w:numId w:val="1"/>
      </w:numPr>
      <w:pBdr/>
      <w:spacing w:line="480" w:lineRule="auto"/>
      <w:ind/>
      <w:jc w:val="center"/>
      <w:outlineLvl w:val="1"/>
    </w:pPr>
    <w:rPr>
      <w:b/>
      <w:color w:val="000000"/>
    </w:rPr>
  </w:style>
  <w:style w:type="character" w:styleId="1133">
    <w:name w:val="Heading 2"/>
    <w:basedOn w:val="941"/>
    <w:link w:val="1132"/>
    <w:pPr>
      <w:pBdr/>
      <w:spacing/>
      <w:ind/>
    </w:pPr>
    <w:rPr>
      <w:b/>
      <w:color w:val="000000"/>
    </w:rPr>
  </w:style>
  <w:style w:type="paragraph" w:styleId="1134">
    <w:name w:val="Caption"/>
    <w:basedOn w:val="940"/>
    <w:next w:val="940"/>
    <w:link w:val="1135"/>
    <w:pPr>
      <w:pBdr/>
      <w:spacing/>
      <w:ind/>
      <w:jc w:val="center"/>
    </w:pPr>
    <w:rPr>
      <w:b/>
    </w:rPr>
  </w:style>
  <w:style w:type="character" w:styleId="1135">
    <w:name w:val="Caption"/>
    <w:basedOn w:val="941"/>
    <w:link w:val="1134"/>
    <w:pPr>
      <w:pBdr/>
      <w:spacing/>
      <w:ind/>
    </w:pPr>
    <w:rPr>
      <w:b/>
    </w:rPr>
  </w:style>
  <w:style w:type="paragraph" w:styleId="1136">
    <w:name w:val="Footer"/>
    <w:basedOn w:val="940"/>
    <w:next w:val="940"/>
    <w:link w:val="1137"/>
    <w:pPr>
      <w:pBdr/>
      <w:tabs>
        <w:tab w:val="center" w:leader="none" w:pos="4320"/>
        <w:tab w:val="right" w:leader="none" w:pos="8640"/>
      </w:tabs>
      <w:spacing/>
      <w:ind/>
    </w:pPr>
  </w:style>
  <w:style w:type="character" w:styleId="1137">
    <w:name w:val="Footer"/>
    <w:basedOn w:val="941"/>
    <w:link w:val="1136"/>
    <w:pPr>
      <w:pBdr/>
      <w:spacing/>
      <w:ind/>
    </w:pPr>
  </w:style>
  <w:style w:type="paragraph" w:styleId="1138">
    <w:name w:val="Не вступил в силу"/>
    <w:link w:val="1139"/>
    <w:pPr>
      <w:pBdr/>
      <w:spacing/>
      <w:ind/>
    </w:pPr>
    <w:rPr>
      <w:color w:val="008080"/>
      <w:sz w:val="20"/>
    </w:rPr>
  </w:style>
  <w:style w:type="character" w:styleId="1139">
    <w:name w:val="Не вступил в силу"/>
    <w:link w:val="1138"/>
    <w:pPr>
      <w:pBdr/>
      <w:spacing/>
      <w:ind/>
    </w:pPr>
    <w:rPr>
      <w:color w:val="008080"/>
      <w:sz w:val="20"/>
    </w:rPr>
  </w:style>
  <w:style w:type="paragraph" w:styleId="1140">
    <w:name w:val="Heading 6"/>
    <w:basedOn w:val="940"/>
    <w:next w:val="940"/>
    <w:link w:val="1141"/>
    <w:uiPriority w:val="9"/>
    <w:qFormat/>
    <w:pPr>
      <w:keepNext w:val="true"/>
      <w:pBdr/>
      <w:spacing/>
      <w:ind w:firstLine="20" w:left="0"/>
      <w:jc w:val="center"/>
      <w:outlineLvl w:val="5"/>
    </w:pPr>
    <w:rPr>
      <w:b/>
      <w:sz w:val="22"/>
    </w:rPr>
  </w:style>
  <w:style w:type="character" w:styleId="1141">
    <w:name w:val="Heading 6"/>
    <w:basedOn w:val="941"/>
    <w:link w:val="1140"/>
    <w:pPr>
      <w:pBdr/>
      <w:spacing/>
      <w:ind/>
    </w:pPr>
    <w:rPr>
      <w:b/>
      <w:sz w:val="22"/>
    </w:rPr>
  </w:style>
  <w:style w:type="paragraph" w:styleId="1142">
    <w:name w:val="Body Text 3"/>
    <w:basedOn w:val="940"/>
    <w:link w:val="1143"/>
    <w:pPr>
      <w:pBdr/>
      <w:spacing/>
      <w:ind/>
    </w:pPr>
    <w:rPr>
      <w:b/>
      <w:i/>
      <w:sz w:val="44"/>
    </w:rPr>
  </w:style>
  <w:style w:type="character" w:styleId="1143">
    <w:name w:val="Body Text 3"/>
    <w:basedOn w:val="941"/>
    <w:link w:val="1142"/>
    <w:pPr>
      <w:pBdr/>
      <w:spacing/>
      <w:ind/>
    </w:pPr>
    <w:rPr>
      <w:b/>
      <w:i/>
      <w:sz w:val="44"/>
    </w:rPr>
  </w:style>
  <w:style w:type="paragraph" w:styleId="1144">
    <w:name w:val="SH Heading 5"/>
    <w:basedOn w:val="940"/>
    <w:link w:val="1145"/>
    <w:pPr>
      <w:numPr>
        <w:ilvl w:val="4"/>
        <w:numId w:val="3"/>
      </w:numPr>
      <w:pBdr/>
      <w:spacing w:after="240" w:line="264" w:lineRule="auto"/>
      <w:ind/>
      <w:jc w:val="both"/>
    </w:pPr>
  </w:style>
  <w:style w:type="character" w:styleId="1145">
    <w:name w:val="SH Heading 5"/>
    <w:basedOn w:val="941"/>
    <w:link w:val="1144"/>
    <w:pPr>
      <w:pBdr/>
      <w:spacing/>
      <w:ind/>
    </w:pPr>
  </w:style>
  <w:style w:type="table" w:styleId="1146">
    <w:name w:val="Table Grid"/>
    <w:basedOn w:val="1150"/>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7">
    <w:name w:val="Grid Table 1 Light"/>
    <w:basedOn w:val="1150"/>
    <w:pPr>
      <w:pBdr/>
      <w:spacing/>
      <w:ind/>
    </w:pPr>
    <w:tblPr>
      <w:tblCellMar>
        <w:top w:w="108" w:type="dxa"/>
        <w:bottom w:w="108" w:type="dxa"/>
      </w:tblCellMar>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8">
    <w:name w:val="Table Normal1"/>
    <w:pPr>
      <w:pBdr/>
      <w:spacing/>
      <w:ind/>
    </w:pPr>
    <w:tblPr>
      <w:tblInd w:w="0" w:type="dxa"/>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9">
    <w:name w:val="Plain Table 3"/>
    <w:basedOn w:val="1150"/>
    <w:pPr>
      <w:pBdr/>
      <w:spacing/>
      <w:ind/>
    </w:pPr>
    <w:tblP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0" w:default="1">
    <w:name w:val="Normal Table"/>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51" w:default="1">
    <w:name w:val="No List"/>
    <w:uiPriority w:val="99"/>
    <w:semiHidden/>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Arial"/>
        <a:ea typeface="Arial"/>
        <a:cs typeface="Arial"/>
      </a:majorFont>
      <a:minorFont>
        <a:latin typeface="Arial"/>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10</cp:revision>
  <dcterms:modified xsi:type="dcterms:W3CDTF">2026-04-23T13:32:07Z</dcterms:modified>
</cp:coreProperties>
</file>